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EHV 2030/2 — Eröffnung von Besitzkonten für Verantwortliche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(1) Jeder Kontoinhaber eines Compliance-Kontos im Sinne von § 19 Absatz 1 Nummer 2 der Brennstoffemissionshandelsverordnung, der gleichzeitig Verantwortlicher nach § 3 Nummer 29 des Treibhausgas-Emissionshandelsgesetzes ist, ist verpflichtet, im Zeitraum vom 1. Juni 2026 bis zum 15. September 2026</w:t>
      </w:r>
    </w:p>
    <w:p>
      <w:pPr>
        <w:ind w:left="420"/>
      </w:pPr>
      <w:r>
        <w:t xml:space="preserve">1. den Antrag auf Eröffnung eines Besitzkontos für Verantwortliche gemäß Artikel 15b Absatz 1 und 7 der Delegierten Verordnung (EU) 2019/1122 über den Zugang zu seinem Compliance-Konto im nationalen Emissionshandelsregister gemäß § 12 des Brennstoff-Emissionshandelsgesetzes zu stellen,</w:t>
      </w:r>
    </w:p>
    <w:p>
      <w:pPr>
        <w:ind w:left="420"/>
      </w:pPr>
      <w:r>
        <w:t xml:space="preserve">2. seine Kontoangaben gemäß den Anlagen 2 und 4 zu der Brennstoffemissionshandelsverordnung zu aktualisieren,</w:t>
      </w:r>
    </w:p>
    <w:p>
      <w:pPr>
        <w:ind w:left="420"/>
      </w:pPr>
      <w:r>
        <w:t xml:space="preserve">3. zur Eröffnung eines Besitzkontos für Verantwortliche gemäß Artikel 15b in Verbindung mit den Anhängen III, VIIb und VIII der Delegierten Verordnung (EU) 2019/1122 erforderliche Angaben zu ergänzen oder durch kontobevollmächtigte Personen des Compliance-Kontos ergänzen zu lassen und</w:t>
      </w:r>
    </w:p>
    <w:p>
      <w:pPr>
        <w:ind w:left="420"/>
      </w:pPr>
      <w:r>
        <w:t xml:space="preserve">4. zwei kontobevollmächtigte Personen des Compliance-Kontos für das Besitzkonto des Unionsregisters nach Maßgabe der Artikel 20 und 21 in Verbindung mit Anhang VIII der Delegierten Verordnung (EU) 2019/1122 zu ernennen.</w:t>
      </w:r>
    </w:p>
    <w:p>
      <w:r>
        <w:t xml:space="preserve">Satz 1 gilt nicht, sofern der Kontoinhaber des Compliance-Kontos seit dem 1. Januar 2025 nicht mehr Verantwortlicher nach § 3 Nummer 29 des Treibhausgas-Emissionshandelsgesetzes ist.</w:t>
      </w:r>
    </w:p>
    <w:p>
      <w:r>
        <w:t xml:space="preserve">(2) Die zuständige Behörde eröffnet für jeden Kontoinhaber eines Compliance-Kontos im Sinne des § 19 Absatz 1 Nummer 2 der Brennstoffemissionshandelsverordnung, der gleichzeitig Verantwortlicher nach § 3 Nummer 29 des Treibhausgas-Emissionshandelsgesetzes ist, ein Besitzkonto für beaufsichtigte Unternehmen im Unionsregister nach Maßgabe des Artikels 15b Absatz 2 und 6 der Delegierten Verordnung (EU) 2019/1122 und übermittelt zu diesem Zweck an das Unionsregister die hierzu erforderlichen Angaben, die ihr gemäß den Anlagen 2 und 4 zu der Brennstoffemissionshandelsverordnung vorliegen.</w:t>
      </w:r>
    </w:p>
    <w:p>
      <w:r>
        <w:t xml:space="preserve">(3) Sind die Voraussetzungen für die Eröffnung eines Besitzkontos nach Absatz 1 nicht oder teilweise nicht erfüllt, kann die zuständige Behörde den Kontozugang im Unionsregister nach Artikel 30 der Delegierten Verordnung (EU) 2019/1122 bis zur Erfüllung der fehlenden Voraussetzungen sperren.</w:t>
      </w:r>
    </w:p>
    <w:p>
      <w:r>
        <w:rPr>
          <w:color w:val="555555"/>
          <w:sz w:val="17"/>
        </w:rPr>
        <w:t xml:space="preserve">Zitiervorschlag: § 25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