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EHV 2030/2 — Anwendungsbeschränkungen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Für die Überwachung von und die Berichterstattung über Emissionen einer Tätigkeit nach Teil B Abschnitt 2 des Anhangs zum Treibhausgas-Emissionshandelsgesetz gelten Brennstoffe nach Teil B Abschnitt 1 des Anhangs zum Treibhausgas-Emissionshandelsgesetz für die Kalenderjahre 2024 bis 2027 nicht als in den Verkehr gebracht im Sinne von § 3 Nummer 19 des Treibhausgas-Emissionshandelsgesetzes, soweit für diese Brennstoffe die Energiesteuer entstanden ist gemäß</w:t>
      </w:r>
    </w:p>
    <w:p>
      <w:pPr>
        <w:ind w:left="420"/>
      </w:pPr>
      <w:r>
        <w:t xml:space="preserve">1. § 14 Absatz 2 Satz 1 des Energiesteuergesetzes oder</w:t>
      </w:r>
    </w:p>
    <w:p>
      <w:pPr>
        <w:ind w:left="420"/>
      </w:pPr>
      <w:r>
        <w:t xml:space="preserve">2. § 23 Absatz 1 oder 1a des Energiesteuergesetzes.</w:t>
      </w:r>
    </w:p>
    <w:p>
      <w:r>
        <w:rPr>
          <w:color w:val="555555"/>
          <w:sz w:val="17"/>
        </w:rPr>
        <w:t xml:space="preserve">Zitiervorschlag: § 24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