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EHV 2030/2 — Erleichterungen bei Überwachung und Berichterstattung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(1) Für die Dauer der Befreiung nach § 16 Absatz 1 gilt die Pflicht zur Emissionsberichterstattung nach § 5 des Treibhausgas-Emissionshandelsgesetzes mit der Maßgabe, dass die Pflicht zur Verifizierung des Emissionsberichts jeweils nur für das dritte Jahr des jeweiligen Zuteilungszeitraums gilt. Abweichend von Satz 1 sind Betreiber von Anlagen, die in jedem Jahr des Bezugszeitraums nach § 16 Absatz 2 weniger als 5 000 Tonnen Kohlendioxidäquivalent emittiert haben, von der Pflicht zur Verifizierung des Emissionsberichts befreit, solange die Anlagen in jedem Berichtsjahr des Zuteilungszeitraums weniger als 5 000 Tonnen Kohlendioxidäquivalent emittieren. Emittiert eine Anlage im Sinne von Satz 2 in einem der Berichtsjahre des Zuteilungszeitraums 5 000 Tonnen Kohlendioxidäquivalent oder mehr, gilt Satz 1 entsprechend. Erfolgt die Überschreitung der Emission von 5 000 Tonnen Kohlendioxidäquivalent nach dem dritten Jahr des Zuteilungszeitraums, gilt die Pflicht zur Verifizierung des Emissionsberichts für das Jahr der erstmaligen Überschreitung.</w:t>
      </w:r>
    </w:p>
    <w:p>
      <w:r>
        <w:t xml:space="preserve">(2) Für die Dauer der Befreiung nach § 16 Absatz 1 gilt die Pflicht nach § 6 des Treibhausgas-Emissionshandelsgesetzes mit den Maßgaben, dass</w:t>
      </w:r>
    </w:p>
    <w:p>
      <w:pPr>
        <w:ind w:left="420"/>
      </w:pPr>
      <w:r>
        <w:t xml:space="preserve">1. der nach § 6 Absatz 1 des Treibhausgas-Emissionshandelsgesetzes zur Genehmigung vorzulegende Überwachungsplan keine Angaben nach Artikel 12 Absatz 2 Buchstabe c bis g der Durchführungsverordnung (EU) 2018/2066 zu den innerbetrieblichen Verfahren zur Überwachung und Berichterstattung nach Anhang I Nummer 1 der Durchführungsverordnung (EU) 2018/2066 enthalten muss;</w:t>
      </w:r>
    </w:p>
    <w:p>
      <w:pPr>
        <w:ind w:left="420"/>
      </w:pPr>
      <w:r>
        <w:t xml:space="preserve">2. eine Anpassung des Überwachungsplans nach § 6 Absatz 4 des Treibhausgas-Emissionshandelsgesetzes nur bei Änderungen des Anlagenumfangs oder der Emissionsquellen oder bei der Aufnahme zusätzlicher Stoffströme erforderlich ist.</w:t>
      </w:r>
    </w:p>
    <w:p>
      <w:r>
        <w:t xml:space="preserve">(3) Bestimmt der Betreiber einer Anlage, die in jedem Jahr des Bezugszeitraums nach § 16 Absatz 2 weniger als 5 000 Tonnen Kohlendioxidäquivalent emittiert hat, Berechnungsfaktoren eines Stoffstroms mittels Analysen, so ist er von der Pflicht nach Artikel 33 der Durchführungsverordnung (EU) 2018/2066 zur Übermittlung eines Probenahmeplans befreit. Nimmt der Betreiber zur Durchführung der Analysen sein betriebseigenes Labor in Anspruch, ist er von der Pflicht nach Artikel 34 Absatz 3 der Durchführungsverordnung (EU) 2018/2066 zur Vorlage eines Gleichwertigkeitsnachweises befreit.</w:t>
      </w:r>
    </w:p>
    <w:p>
      <w:r>
        <w:t xml:space="preserve">(4) Für die Dauer der Befreiung nach § 16 Absatz 1 ist der Betreiber einer Anlage, die in jedem Jahr des Bezugszeitraums nach § 16 Absatz 2 weniger als 5 000 Tonnen Kohlendioxidäquivalent emittiert hat, von der Pflicht zur Übermittlung eines Verbesserungsberichtes nach Artikel 69 Absatz 4 der Durchführungsverordnung (EU) 2018/2066 befreit.</w:t>
      </w:r>
    </w:p>
    <w:p>
      <w:r>
        <w:t xml:space="preserve">(5) Für die Dauer der Befreiung nach § 16 Absatz 1 ist der Betreiber der Anlage von der Pflicht zur Mitteilung der Aktivitätsraten nach Artikel 3 der Durchführungsverordnung (EU) 2019/1842 befreit.</w:t>
      </w:r>
    </w:p>
    <w:p>
      <w:r>
        <w:rPr>
          <w:color w:val="555555"/>
          <w:sz w:val="17"/>
        </w:rPr>
        <w:t xml:space="preserve">Zitiervorschlag: § 23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