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 EHV 2030/2 — Selbstverpflichtung zu Emissionsminderungen</w:t>
      </w:r>
    </w:p>
    <w:p>
      <w:r>
        <w:rPr>
          <w:color w:val="555555"/>
          <w:sz w:val="18"/>
        </w:rPr>
        <w:t xml:space="preserve">Emissionshandelsverordnung 2030</w:t>
      </w:r>
    </w:p>
    <w:p>
      <w:r>
        <w:rPr>
          <w:color w:val="555555"/>
          <w:sz w:val="18"/>
        </w:rPr>
        <w:t xml:space="preserve">Stand: 16.07.2026 (konsolidierte Textfassung, kein amtliches Inkrafttretensdatum)</w:t>
      </w:r>
    </w:p>
    <w:p>
      <w:r>
        <w:t xml:space="preserve">(1) Gegenstand der Selbstverpflichtung des Betreibers zu Emissionsminderungen der Anlage nach § 18 Nummer 2 ist die Reduzierung der Gesamtemissionen der Anlage gegenüber dem Basiswert beginnend ab dem Jahr 2024 um jährlich 4,3 Prozent und ab dem Jahr 2028 um jährlich 4,4 Prozent.</w:t>
      </w:r>
    </w:p>
    <w:p>
      <w:r>
        <w:t xml:space="preserve">(2) Der Basiswert ist der Median der Emissionen der Anlage in den Jahren 2019 bis 2023, in denen die Anlage vom Anwendungsbereich des Treibhausgas-Emissionshandelsgesetzes erfasst war, reduziert um den Prozentsatz, der der prozentualen Minderung der gemeinschaftsweiten Menge der vergebenen Zertifikate nach den Artikeln 9 und 9a der Richtlinie 2003/87/EG von der Mitte des Zeitraums der Kalenderjahre 2019 bis 2023 bis zum Ende des Zuteilungszeitraums 2021 bis 2025 entspricht.</w:t>
      </w:r>
    </w:p>
    <w:p>
      <w:r>
        <w:t xml:space="preserve">(3) Die zuständige Behörde setzt mit der Befreiung nach § 16 Absatz 1 den Basiswert nach Absatz 2 sowie den jeweiligen Zielwert für jedes Kalenderjahr des Zuteilungszeitraums fest.</w:t>
      </w:r>
    </w:p>
    <w:p>
      <w:r>
        <w:t xml:space="preserve">(4) Erfüllt ein Betreiber die Selbstverpflichtung nach Absatz 1 in einem Berichtsjahr nicht, so hat er für dieses Berichtsjahr einen Überschreitungsbetrag zu zahlen. Der zu zahlende Überschreitungsbetrag ist das Produkt aus</w:t>
      </w:r>
    </w:p>
    <w:p>
      <w:pPr>
        <w:ind w:left="420"/>
      </w:pPr>
      <w:r>
        <w:t xml:space="preserve">1. der Differenz zwischen der tatsächlichen Emissionsmenge der Anlage im Berichtsjahr und dem sich aus Absatz 1 ergebenden Zielwert für dieses Berichtsjahr und</w:t>
      </w:r>
    </w:p>
    <w:p>
      <w:pPr>
        <w:ind w:left="420"/>
      </w:pPr>
      <w:r>
        <w:t xml:space="preserve">2. dem durchschnittlichen, volumengewichteten Zuschlagspreis der Versteigerungen von Berechtigungen nach § 10 des Treibhausgas-Emissionshandelsgesetzes im Berichtsjahr oder im Kalenderjahr vor dem Berichtsjahr, je nachdem, welcher der beiden Zuschlagspreise der niedrigere ist; die zuständige Behörde gibt den maßgeblichen Zuschlagspreis für das jeweilige Berichtsjahr bis zum 31. März des auf das Berichtsjahr folgenden Kalenderjahres auf ihrer Internetseite bekannt.</w:t>
      </w:r>
    </w:p>
    <w:p>
      <w:r>
        <w:t xml:space="preserve">(5) Sofern die Emissionsmenge der Anlage geringer ist als der sich aus Absatz 1 ergebende Zielwert für das jeweilige Berichtsjahr, kann der Betreiber die Differenzmenge bei der Differenzbildung nach Absatz 4 Satz 2 Nummer 1 im Folgejahr desselben Zuteilungszeitraums anrechnen. Sofern sich durch diese Anrechnung auch für das Folgejahr ein negativer Wert ergibt, gilt Satz 1 für das Folgejahr entsprechend.</w:t>
      </w:r>
    </w:p>
    <w:p>
      <w:r>
        <w:t xml:space="preserve">(6) Für die Leistung des Überschreitungsbetrags gilt § 19 Absatz 4 und 6 bis 8 entsprechend.</w:t>
      </w:r>
    </w:p>
    <w:p>
      <w:r>
        <w:rPr>
          <w:color w:val="555555"/>
          <w:sz w:val="17"/>
        </w:rPr>
        <w:t xml:space="preserve">Zitiervorschlag: § 20 EHV 2030/2</w:t>
      </w:r>
    </w:p>
    <w:p>
      <w:r>
        <w:rPr>
          <w:color w:val="555555"/>
          <w:sz w:val="17"/>
        </w:rPr>
        <w:t xml:space="preserve">Quelle: Bundesamt für Justiz, abgerufen 16.07.2026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https://recht.nulegal.eu/gesetze/ehv_2030_2/20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