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EHV 2030/2 — Gleichwertige Maßnahme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Während der Dauer der Befreiung nach § 16 Absatz 1 unterliegt der Betreiber entsprechend seiner nach § 16 Absatz 1 Nummer 2 getroffenen Auswahl einer der nachfolgenden gleichwertigen Maßnahmen:</w:t>
      </w:r>
    </w:p>
    <w:p>
      <w:pPr>
        <w:ind w:left="420"/>
      </w:pPr>
      <w:r>
        <w:t xml:space="preserve">1. Zahlung eines Ausgleichsbetrages für ersparte Kosten des Erwerbs von Berechtigungen nach § 19 oder</w:t>
      </w:r>
    </w:p>
    <w:p>
      <w:pPr>
        <w:ind w:left="420"/>
      </w:pPr>
      <w:r>
        <w:t xml:space="preserve">2. Selbstverpflichtung zu Emissionsminderungen der Anlage nach § 20.</w:t>
      </w:r>
    </w:p>
    <w:p>
      <w:r>
        <w:rPr>
          <w:color w:val="555555"/>
          <w:sz w:val="17"/>
        </w:rPr>
        <w:t xml:space="preserve">Zitiervorschlag: § 18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