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EHV 2030/2 — Befreiung von Kleinemittenten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(1) Die zuständige Behörde befreit den Betreiber einer Anlage auf dessen Antrag jeweils für die Dauer eines Zuteilungszeitraums nach Artikel 2 Absatz 15 der Delegierten Verordnung (EU) 2019/331 von der Pflicht nach § 7 Absatz 1 des Treibhausgas-Emissionshandelsgesetzes, sofern</w:t>
      </w:r>
    </w:p>
    <w:p>
      <w:pPr>
        <w:ind w:left="420"/>
      </w:pPr>
      <w:r>
        <w:t xml:space="preserve">1. die Anlage in jedem Jahr des Bezugszeitraums des jeweiligen Zuteilungszeitraums weniger als 15 000 Tonnen Kohlendioxidäquivalent emittiert hat,</w:t>
      </w:r>
    </w:p>
    <w:p>
      <w:pPr>
        <w:ind w:left="420"/>
      </w:pPr>
      <w:r>
        <w:t xml:space="preserve">2. der Betreiber sich für den jeweiligen Zuteilungszeitraum zur Durchführung einer gleichwertigen Maßnahme nach § 18 verpflichtet und</w:t>
      </w:r>
    </w:p>
    <w:p>
      <w:pPr>
        <w:ind w:left="420"/>
      </w:pPr>
      <w:r>
        <w:t xml:space="preserve">3. die Europäische Kommission keine Einwände nach Artikel 27 Absatz 2 Satz 1 der Richtlinie 2003/87/EG gegen die Befreiung erhebt.</w:t>
      </w:r>
    </w:p>
    <w:p>
      <w:r>
        <w:t xml:space="preserve">(2) Der Bezugszeitraum für den Zuteilungszeitraum 2021 bis 2025 sind die Jahre 2016 bis 2018; der Bezugszeitraum für den Zuteilungszeitraum 2026 bis 2030 sind die Jahre 2021 bis 2023.</w:t>
      </w:r>
    </w:p>
    <w:p>
      <w:r>
        <w:t xml:space="preserve">(3) Ausgeschlossen ist eine Befreiung von der Pflicht nach § 7 Absatz 1 des Treibhausgas-Emissionshandelsgesetzes</w:t>
      </w:r>
    </w:p>
    <w:p>
      <w:pPr>
        <w:ind w:left="420"/>
      </w:pPr>
      <w:r>
        <w:t xml:space="preserve">1. bei Verbrennungseinheiten nach Teil A Abschnitt 2 Nummer 1 des Anhangs zum Treibhausgas-Emissionshandelsgesetz, sofern die Gesamtfeuerungswärmeleistung dieser Verbrennungseinheiten 35 Megawatt oder mehr beträgt,</w:t>
      </w:r>
    </w:p>
    <w:p>
      <w:pPr>
        <w:ind w:left="420"/>
      </w:pPr>
      <w:r>
        <w:t xml:space="preserve">2. bei Anlagen nach Teil A Abschnitt 2 Nummer 2 bis 6 des Anhangs zum Treibhausgas-Emissionshandelsgesetz, sofern die Feuerungswärmeleistung der Anlage 35 Megawatt oder mehr beträgt, und</w:t>
      </w:r>
    </w:p>
    <w:p>
      <w:pPr>
        <w:ind w:left="420"/>
      </w:pPr>
      <w:r>
        <w:t xml:space="preserve">3. bei Anlagen, die Restgase oder Wärme mit einer anderen Anlage, die am Emissionshandel teilnimmt, austauschen.</w:t>
      </w:r>
    </w:p>
    <w:p>
      <w:r>
        <w:t xml:space="preserve">(4) Für die Dauer der Befreiung besteht kein Anspruch auf eine Zuteilung von kostenlosen Berechtigungen nach § 23 Absatz 1 des Treibhausgas-Emissionshandelsgesetzes.</w:t>
      </w:r>
    </w:p>
    <w:p>
      <w:r>
        <w:rPr>
          <w:color w:val="555555"/>
          <w:sz w:val="17"/>
        </w:rPr>
        <w:t xml:space="preserve">Zitiervorschlag: § 16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