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EHV 2030/2 — Einheitliche Anlage</w:t>
      </w:r>
    </w:p>
    <w:p>
      <w:r>
        <w:rPr>
          <w:color w:val="555555"/>
          <w:sz w:val="18"/>
        </w:rPr>
        <w:t xml:space="preserve">Emissionshandelsverordnung 2030</w:t>
      </w:r>
    </w:p>
    <w:p>
      <w:r>
        <w:rPr>
          <w:color w:val="555555"/>
          <w:sz w:val="18"/>
        </w:rPr>
        <w:t xml:space="preserve">Stand: 16.07.2026 (konsolidierte Textfassung, kein amtliches Inkrafttretensdatum)</w:t>
      </w:r>
    </w:p>
    <w:p>
      <w:r>
        <w:t xml:space="preserve">(1) Auf Antrag des Betreibers stellt die zuständige Behörde fest, dass Anlagen nach Teil A Abschnitt 2 Nummer 1 bis 6 des Anhangs zum Treibhausgas-Emissionshandelsgesetz gemeinsam mit anderen Anlagen nach Teil A Abschnitt 2 Nummer 12 bis 22 des Anhangs zum Treibhausgas-Emissionshandelsgesetz eine einheitliche Anlage bilden, sofern die Voraussetzungen des § 27 des Treibhausgas-Emissionshandelsgesetzes erfüllt sind.</w:t>
      </w:r>
    </w:p>
    <w:p>
      <w:r>
        <w:t xml:space="preserve">(2) Betreiber von Anlagen nach Teil A Abschnitt 2 Nummer 8 bis 11 des Anhangs zum Treibhausgas-Emissionshandelsgesetz, die nach Feststellung der zuständigen Behörde gemäß § 27 des Treibhausgas-Emissionshandelsgesetzes als einheitliche Anlage gelten, sind verpflichtet, im Rahmen der Emissionsberichterstattung auch die Produktionsmengen der in den einbezogenen Anlagen hergestellten Produkte anzugeben.</w:t>
      </w:r>
    </w:p>
    <w:p>
      <w:r>
        <w:t xml:space="preserve">(3) Anlagen nach Teil A Abschnitt 2 Nummer 7 des Anhangs zum Treibhausgas-Emissionshandelsgesetz gelten gemeinsam mit sonstigen in Teil A Abschnitt 2 des Anhangs zum Treibhausgas-Emissionshandelsgesetz aufgeführten Anlagen als einheitliche Anlage, sofern sie von demselben Anlagenbetreiber an demselben Standort in einem technischen Verbund betrieben werden.</w:t>
      </w:r>
    </w:p>
    <w:p>
      <w:r>
        <w:t xml:space="preserve">(4) Die zuständige Behörde hat Feststellungen nach § 27 des Treibhausgas-Emissionshandelsgesetzes oder nach Absatz 1 zu widerrufen, soweit nachträglich unmittelbar geltende Rechtsakte der Europäischen Union der Bildung einer solchen einheitlichen Anlage entgegenstehen.</w:t>
      </w:r>
    </w:p>
    <w:p>
      <w:r>
        <w:rPr>
          <w:color w:val="555555"/>
          <w:sz w:val="17"/>
        </w:rPr>
        <w:t xml:space="preserve">Zitiervorschlag: § 15 EHV 2030/2</w:t>
      </w:r>
    </w:p>
    <w:p>
      <w:r>
        <w:rPr>
          <w:color w:val="555555"/>
          <w:sz w:val="17"/>
        </w:rPr>
        <w:t xml:space="preserve">Quelle: Bundesamt für Justiz, abgerufen 16.07.2026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https://recht.nulegal.eu/gesetze/ehv_2030_2/15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