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EHV 2030/2 — Versteigerung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(1) Anbieter der gemäß § 10 Absatz 1 Satz 1 des Treibhausgas-Emissionshandelsgesetzes zu versteigernden Berechtigungen oder Emissionszertifikate ist das Umweltbundesamt oder ein von ihm beauftragter Dritter.</w:t>
      </w:r>
    </w:p>
    <w:p>
      <w:r>
        <w:t xml:space="preserve">(2) Erlöse gemäß § 10 Absatz 3 Satz 1 des Treibhausgas-Emissionshandelsgesetzes sind die Einnahmen ohne die Umsatzsteuer. Im Rahmen des § 10 Absatz 3 Satz 2 des Treibhausgas-Emissionshandelsgesetzes sind Überdeckungen und Unterdeckungen der entstandenen Kosten der Deutschen Emissionshandelsstelle im Umweltbundesamt auf den Refinanzierungsbedarf des darauffolgenden Jahres anzurechnen.</w:t>
      </w:r>
    </w:p>
    <w:p>
      <w:r>
        <w:rPr>
          <w:color w:val="555555"/>
          <w:sz w:val="17"/>
        </w:rPr>
        <w:t xml:space="preserve">Zitiervorschlag: § 11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