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EHV 2030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Historische Fassung: Stand 10.06.2019 bis 15.07.2026. Dies ist nicht die aktuelle Fassung.</w:t>
      </w:r>
    </w:p>
    <w:p>
      <w:r>
        <w:t xml:space="preserve">Es verordnen auf Grund</w:t>
      </w:r>
    </w:p>
    <w:p>
      <w:pPr>
        <w:ind w:left="420"/>
      </w:pPr>
      <w:r>
        <w:t xml:space="preserve">– des § 27 Nummer 1 bis 6 des Treibhausgas-Emissionshandelsgesetzes, der durch Artikel 1 Nummer 23 des Gesetzes vom 18. Januar 2019 (BGBl. I S. 37) neu gefasst worden ist, die Bundesregierung,</w:t>
      </w:r>
    </w:p>
    <w:p>
      <w:pPr>
        <w:ind w:left="420"/>
      </w:pPr>
      <w:r>
        <w:t xml:space="preserve">– des § 28 Absatz 1 Nummer 2 bis 5 des Treibhausgas-Emissionshandelsgesetzes, von denen Absatz 1 Nummer 3 durch Artikel 1 Nummer 24 Buchstabe a Doppelbuchstabe aa und Absatz 1 Nummer 5 durch Artikel 1 Nummer 24 Buchstabe a Doppelbuchstabe bb des Gesetzes vom 18. Januar 2019 (BGBl. I S. 37) geändert worden ist, die Bundesregierung sowie</w:t>
      </w:r>
    </w:p>
    <w:p>
      <w:pPr>
        <w:ind w:left="420"/>
      </w:pPr>
      <w:r>
        <w:t xml:space="preserve">– des § 28 Absatz 2 Nummer 1 und Absatz 4 Satz 1 Nummer 1 bis 4 des Treibhausgas-Emissionshandelsgesetzes, von denen Absatz 2 Nummer 1 durch Artikel 1 Nummer 24 Buchstabe b Doppelbuchstabe aa und Buchstabe d sowie Absatz 4 Satz 1 durch Artikel 1 Nummer 24 Buchstabe d des Gesetzes vom 18. Januar 2019 (BGBl. I S. 37) geändert worden ist, das Bundesministerium für Umwelt, Naturschutz und nukleare Sicherheit:</w:t>
      </w:r>
    </w:p>
    <w:p>
      <w:r>
        <w:rPr>
          <w:color w:val="555555"/>
          <w:sz w:val="17"/>
        </w:rPr>
        <w:t xml:space="preserve">Zitiervorschlag: Eingangsformel EHV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https://recht.nulegal.eu/gesetze/ehv_2030--2019/eingangsformel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