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8d EHV 2030 — Einreichung eines Überwachungsplans</w:t>
      </w:r>
    </w:p>
    <w:p>
      <w:r>
        <w:rPr>
          <w:color w:val="555555"/>
          <w:sz w:val="18"/>
        </w:rPr>
        <w:t xml:space="preserve">Emissionshandelsverordnung 2030</w:t>
      </w:r>
    </w:p>
    <w:p>
      <w:r>
        <w:rPr>
          <w:color w:val="555555"/>
          <w:sz w:val="18"/>
        </w:rPr>
        <w:t xml:space="preserve">Historische Fassung: Stand 25.02.2023 bis 15.07.2026. Dies ist nicht die aktuelle Fassung.</w:t>
      </w:r>
    </w:p>
    <w:p>
      <w:r>
        <w:t xml:space="preserve">(1) Ein Luftfahrzeugbetreiber ist verpflichtet, unverzüglich einen Überwachungsplan bei der zuständigen Behörde einzureichen, wenn er</w:t>
      </w:r>
    </w:p>
    <w:p>
      <w:pPr>
        <w:ind w:left="420"/>
      </w:pPr>
      <w:r>
        <w:t xml:space="preserve">1. die Bedingungen nach Artikel 1 der Delegierten Verordnung (EU) 2019/1603 erfüllt und Tätigkeiten durchführt, die in den Anwendungsbereich von dessen Artikel 2 fallen, oder</w:t>
      </w:r>
    </w:p>
    <w:p>
      <w:pPr>
        <w:ind w:left="420"/>
      </w:pPr>
      <w:r>
        <w:t xml:space="preserve">2. Flüge zwischen Flugplätzen in zwei Drittstaaten durchführt.</w:t>
      </w:r>
    </w:p>
    <w:p>
      <w:r>
        <w:t xml:space="preserve">(2) Die Pflicht entfällt jedoch, wenn der Luftfahrzeugbetreiber bei der zuständigen Behörde bereits einen Überwachungsplan nach § 6 des Treibhausgas-Emissionshandelsgesetzes eingereicht hat.</w:t>
      </w:r>
    </w:p>
    <w:p>
      <w:r>
        <w:rPr>
          <w:color w:val="555555"/>
          <w:sz w:val="17"/>
        </w:rPr>
        <w:t xml:space="preserve">Zitiervorschlag: § 8d EHV 2030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https://recht.nulegal.eu/gesetze/ehv_2030--2019/8d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