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EHV 2030 — Versteigerung</w:t>
      </w:r>
    </w:p>
    <w:p>
      <w:r>
        <w:rPr>
          <w:color w:val="555555"/>
          <w:sz w:val="18"/>
        </w:rPr>
        <w:t xml:space="preserve">Emissionshandelsverordnung 2030</w:t>
      </w:r>
    </w:p>
    <w:p>
      <w:r>
        <w:rPr>
          <w:color w:val="555555"/>
          <w:sz w:val="18"/>
        </w:rPr>
        <w:t xml:space="preserve">Historische Fassung: Stand 10.06.2019 bis 15.07.2026. Dies ist nicht die aktuelle Fassung.</w:t>
      </w:r>
    </w:p>
    <w:p>
      <w:r>
        <w:t xml:space="preserve">(1) Anbieter der gemäß § 8 Absatz 1 Satz 1 des Treibhausgas-Emissionshandelsgesetzes zu versteigernden Berechtigungen ist das Umweltbundesamt oder ein von ihm beauftragter Dritter.</w:t>
      </w:r>
    </w:p>
    <w:p>
      <w:r>
        <w:t xml:space="preserve">(2) Erlöse gemäß § 8 Absatz 3 Satz 1 des Treibhausgas-Emissionshandelsgesetzes sind die Einnahmen nach Abzug der Umsatzsteuer (Nettoerlöse). Im Rahmen des § 8 Absatz 3 Satz 2 des Treibhausgas-Emissionshandelsgesetzes sind Überdeckungen und Unterdeckungen der entstandenen Kosten der Deutschen Emissionshandelsstelle im Umweltbundesamt auf den Refinanzierungsbedarf des darauffolgenden Jahres anzurechnen.</w:t>
      </w:r>
    </w:p>
    <w:p>
      <w:r>
        <w:rPr>
          <w:color w:val="555555"/>
          <w:sz w:val="17"/>
        </w:rPr>
        <w:t xml:space="preserve">Zitiervorschlag: § 7 EHV 2030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https://recht.nulegal.eu/gesetze/ehv_2030--2019/7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