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EHV 2030 — Nachweisanforderungen für angewendete Analysemethoden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Historische Fassung: Stand 10.06.2019 bis 15.07.2026. Dies ist nicht die aktuelle Fassung.</w:t>
      </w:r>
    </w:p>
    <w:p>
      <w:r>
        <w:t xml:space="preserve">Soweit zur Bestimmung der Emissionen Berechnungsfaktoren verwendet werden, die auf Analysen basieren, gelten die Nachweisanforderungen in den Artikeln 32 bis 35 der Monitoring-Verordnung für alle angewendeten Analysemethoden.</w:t>
      </w:r>
    </w:p>
    <w:p>
      <w:r>
        <w:rPr>
          <w:color w:val="555555"/>
          <w:sz w:val="17"/>
        </w:rPr>
        <w:t xml:space="preserve">Zitiervorschlag: § 5 EHV 2030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https://recht.nulegal.eu/gesetze/ehv_2030--2019/5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EHV 2030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