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3a EHV 2030 — Ausnahmen für den Nachweis der Erfüllung der Nachhaltigkeitsanforderungen und der Anforderungen an die Treibhausgaseinsparung im stationären Bereich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Historische Fassung: Stand 15.11.2023 bis 15.07.2026. Dies ist nicht die aktuelle Fassung.</w:t>
      </w:r>
    </w:p>
    <w:p>
      <w:r>
        <w:t xml:space="preserve">(1) Bis zum Ablauf des 31. Dezember 2023 darf der Anlagenbetreiber in der Berichterstattung für die Verbrennung von Biomasse-Brennstoffen den Emissionsfaktor Null nach Artikel 38 Absatz 2 Unterabsatz 1 der Monitoring-Verordnung auch ansetzen, ohne dass er einen anerkannten Nachhaltigkeitsnachweis nach § 10 der Biomassestrom-Nachhaltigkeitsverordnung erbringen muss, solange ein solcher Nachhaltigkeitsnachweis nicht ausgestellt werden kann, weil</w:t>
      </w:r>
    </w:p>
    <w:p>
      <w:pPr>
        <w:ind w:left="420"/>
      </w:pPr>
      <w:r>
        <w:t xml:space="preserve">1. es nicht genügend anerkannte Zertifizierungssysteme nach der Biomassestrom-Nachhaltigkeitsverordnung gibt,</w:t>
      </w:r>
    </w:p>
    <w:p>
      <w:pPr>
        <w:ind w:left="420"/>
      </w:pPr>
      <w:r>
        <w:t xml:space="preserve">2. es nicht genügend zugelassene Auditoren anerkannter Zertifizierungsstellen nach der Biomassestrom-Nachhaltigkeitsverordnung gibt oder</w:t>
      </w:r>
    </w:p>
    <w:p>
      <w:pPr>
        <w:ind w:left="420"/>
      </w:pPr>
      <w:r>
        <w:t xml:space="preserve">3. die Ausstellung von Nachhaltigkeitsnachweisen in der Datenbank der nach § 50 Absatz 1 der Biomassestrom-Nachhaltigkeitsverordnung zuständigen Behörde für den Zeitpunkt des Bezugs der Brennstoffe nicht möglich ist.</w:t>
      </w:r>
    </w:p>
    <w:p>
      <w:r>
        <w:t xml:space="preserve">(2) Kann ein anerkannter Nachhaltigkeitsnachweis aus einem der in Absatz 1 Nummer 1 oder 2 genannten Gründe nicht ausgestellt werden, so ist der Anlagenbetreiber verpflichtet, in Form einer Eigenerklärung nachzuweisen, dass mindestens einer der in Absatz 1 genannten Gründe vorliegt. Die Eigenerklärung wird von der nach § 19 Absatz 1 Nummer 3 Treibhausgas-Emissionshandelsgesetz zuständigen Behörde im Rahmen des Emissionsberichtes für das Jahr 2023 auf Plausibilität geprüft.</w:t>
      </w:r>
    </w:p>
    <w:p>
      <w:r>
        <w:t xml:space="preserve">(3) Kann ein anerkannter Nachhaltigkeitsnachweis aus dem in Absatz 1 Nummer 3 genannten Grund nicht ausgestellt werden, so ist der Anlagenbetreiber verpflichtet, durch einen elektronischen Nachweis nachzuweisen, dass die Voraussetzungen nach § 3 Absatz 1 erfüllt sind. Der elektronische Nachweis muss von einem anerkannten Zertifizierungssystem ausgestellt worden sein.</w:t>
      </w:r>
    </w:p>
    <w:p>
      <w:r>
        <w:rPr>
          <w:color w:val="555555"/>
          <w:sz w:val="17"/>
        </w:rPr>
        <w:t xml:space="preserve">Zitiervorschlag: § 3a EHV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https://recht.nulegal.eu/gesetze/ehv_2030--2019/3a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