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EHV 2030 — Nachweis der Erfüllung der Nachhaltigkeitsanforderungen und der Anforderungen an die Treibhausgaseinsparung im stationären Bereich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Historische Fassung: Stand 25.02.2023 bis 15.07.2026. Dies ist nicht die aktuelle Fassung.</w:t>
      </w:r>
    </w:p>
    <w:p>
      <w:r>
        <w:t xml:space="preserve">(1) Die Erfüllung der Nachhaltigkeitsanforderungen und der Anforderungen an die Treibhausgaseinsparung, die nach Artikel 38 Absatz 2 Unterabsatz 1 in Verbindung mit Absatz 5 der Monitoring-Verordnung gefordert werden, damit in der Berichterstattung für die Verbrennung von flüssigen Biobrennstoffen und von Biomasse-Brennstoffen der Emissionsfaktor null beträgt, muss vom Anlagenbetreiber ab dem Berichtsjahr 2023 nachgewiesen werden. Der Nachweis muss durch einen anerkannten Nachhaltigkeitsnachweis nach § 10 der Biomassestrom-Nachhaltigkeitsverordnung erfolgen.</w:t>
      </w:r>
    </w:p>
    <w:p>
      <w:r>
        <w:t xml:space="preserve">(2) Werden in einer Anlage Biomasse-Brennstoffe verbrannt, so kann der Nachhaltigkeitsnachweis – abweichend von § 11 Absatz 1 Satz 1 der Biomassestrom-Nachhaltigkeitsverordnung – auch ausgestellt werden von der Schnittstelle, die der letzten Schnittstelle nach § 2 Absatz 21 Nummer 1 der Biomassestrom-Nachhaltigkeitsverordnung unmittelbar vorgelagert ist und die den Biomasse-Brennstoff auf die zur Verbrennung erforderliche Qualitätsstufe aufbereitet, wenn</w:t>
      </w:r>
    </w:p>
    <w:p>
      <w:pPr>
        <w:ind w:left="420"/>
      </w:pPr>
      <w:r>
        <w:t xml:space="preserve">1. die Biomasse-Brennstoffe ausschließlich für die Verwendung in der Anlage beschafft werden,</w:t>
      </w:r>
    </w:p>
    <w:p>
      <w:pPr>
        <w:ind w:left="420"/>
      </w:pPr>
      <w:r>
        <w:t xml:space="preserve">2. in der Anlage in keinem Prozess eine Herstellung nach § 2 Absatz 16 der Biomassestrom-Nachhaltigkeitsverordnung stattfindet und</w:t>
      </w:r>
    </w:p>
    <w:p>
      <w:pPr>
        <w:ind w:left="420"/>
      </w:pPr>
      <w:r>
        <w:t xml:space="preserve">3. in der Anlage bereits vor Ablauf des 31. Dezember 2020 erstmals Biomasse-Brennstoffe oder flüssige Biobrennstoffe zur Verbrennung verwendet worden sind.</w:t>
      </w:r>
    </w:p>
    <w:p>
      <w:r>
        <w:t xml:space="preserve">(3) Im Hinblick auf die jeweils maßgeblichen Kriterien für Treibhausgaseinsparungen gemäß § 6 Absatz 2 Satz 1 der Biomassestrom-Nachhaltigkeitsverordnung gilt eine Anlage zu dem Zeitpunkt als in Betrieb genommen, zu dem in ihr zur Verbrennung erstmals Biomasse-Brennstoffe oder flüssige Biobrennstoffe verwendet worden sind.</w:t>
      </w:r>
    </w:p>
    <w:p>
      <w:r>
        <w:t xml:space="preserve">(4) Bei der Berechnung der Treibhausgaseinsparung, die durch die Verbrennung von flüssigen Biobrennstoffen oder Biomasse-Brennstoffen erzielt wird, gilt § 6 Absatz 3 der Biomassestrom-Nachhaltigkeitsverordnung mit der Maßgabe, dass für fossile Brennstoffe die folgenden Werte anzusetzen sind:</w:t>
      </w:r>
    </w:p>
    <w:p>
      <w:pPr>
        <w:ind w:left="420"/>
      </w:pPr>
      <w:r>
        <w:t xml:space="preserve">1. bei der Verwendung von flüssigen Biobrennstoffen: der Komparator nach Anhang V Teil C Nummer 19 Unterabsatz 2 oder 3 der Richtlinie (EU) 2018/2001 des Europäischen Parlaments und des Rates vom 11. Dezember 2018 zur Förderung der Nutzung von Energie aus erneuerbaren Quellen (ABl. L 328 vom 21.12.2018, S. 82; L 41 vom 22.2.2022, S. 37) in der jeweils geltenden Fassung und</w:t>
      </w:r>
    </w:p>
    <w:p>
      <w:pPr>
        <w:ind w:left="420"/>
      </w:pPr>
      <w:r>
        <w:t xml:space="preserve">2. bei der Verwendung von Biomasse-Brennstoffen: der Komparator nach Anhang VI Teil B Nummer 19 der Richtlinie (EU) 2018/2001 in der jeweils geltenden Fassung.</w:t>
      </w:r>
    </w:p>
    <w:p>
      <w:r>
        <w:t xml:space="preserve">Entsteht bei der Verbrennung der Biomasse-Brennstoffe weder messbare Wärme noch Strom, so ist die Treibhausgasminderung zu berechnen, wobei ein Wirkungsgrad von 90 Prozent anzusetzen ist und der Vergleichswert für Wärme heranzuziehen ist.</w:t>
      </w:r>
    </w:p>
    <w:p>
      <w:r>
        <w:t xml:space="preserve">(5) Für feste Biomasse-Brennstoffe muss auf dem Nachhaltigkeitsnachweis zusätzlich zu den Angaben nach § 14 Absatz 1 der Biomassestrom-Nachhaltigkeitsverordnung die Masse im Lieferzustand ausgewiesen werden.</w:t>
      </w:r>
    </w:p>
    <w:p>
      <w:r>
        <w:rPr>
          <w:color w:val="555555"/>
          <w:sz w:val="17"/>
        </w:rPr>
        <w:t xml:space="preserve">Zitiervorschlag: § 3 EHV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https://recht.nulegal.eu/gesetze/ehv_2030--2019/3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EHV 2030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