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EHV 2030 — Erlöschen der Befreiung</w:t>
      </w:r>
    </w:p>
    <w:p>
      <w:r>
        <w:rPr>
          <w:color w:val="555555"/>
          <w:sz w:val="18"/>
        </w:rPr>
        <w:t xml:space="preserve">Emissionshandelsverordnung 2030</w:t>
      </w:r>
    </w:p>
    <w:p>
      <w:r>
        <w:rPr>
          <w:color w:val="555555"/>
          <w:sz w:val="18"/>
        </w:rPr>
        <w:t xml:space="preserve">Historische Fassung: Stand 10.06.2019 bis 15.07.2026. Dies ist nicht die aktuelle Fassung.</w:t>
      </w:r>
    </w:p>
    <w:p>
      <w:r>
        <w:t xml:space="preserve">Die Befreiung nach § 16 Absatz 1 erlischt, wenn die Anlage in einem Berichtsjahr 25 000 Tonnen Kohlendioxidäquivalent oder mehr emittiert. In diesem Fall unterliegt der Betreiber ab dem Kalenderjahr der Überschreitung der Emissionsgrenze der Pflicht nach § 7 Absatz 1 des Treibhausgas-Emissionshandelsgesetzes.</w:t>
      </w:r>
    </w:p>
    <w:p>
      <w:r>
        <w:rPr>
          <w:color w:val="555555"/>
          <w:sz w:val="17"/>
        </w:rPr>
        <w:t xml:space="preserve">Zitiervorschlag: § 21 EHV 2030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https://recht.nulegal.eu/gesetze/ehv_2030--2019/21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