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EGV820/97G — Technische und organisatorische Maßnahmen</w:t>
      </w:r>
    </w:p>
    <w:p>
      <w:r>
        <w:rPr>
          <w:color w:val="555555"/>
          <w:sz w:val="18"/>
        </w:rPr>
        <w:t xml:space="preserve">Rinderregistrierungsdurchführungsgesetz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(1) Hinsichtlich der technischen und organisatorischen Maßnahmen sind die Artikel 24, 25 und 32 der Verordnung (EU) 2016/679 zu beachten.</w:t>
      </w:r>
    </w:p>
    <w:p>
      <w:r>
        <w:t xml:space="preserve">(2) Die speichernde Stelle hat zu gewährleisten, dass die Übermittlung personenbezogener Daten durch geeignete Stichprobenverfahren festgestellt und überprüft werden kann.</w:t>
      </w:r>
    </w:p>
    <w:p>
      <w:r>
        <w:rPr>
          <w:color w:val="555555"/>
          <w:sz w:val="17"/>
        </w:rPr>
        <w:t xml:space="preserve">Zitiervorschlag: § 5 EGV820/97G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https://recht.nulegal.eu/gesetze/egv820_97g/5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