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EdlStFAusbV — Ausbildungsplan</w:t>
      </w:r>
    </w:p>
    <w:p>
      <w:r>
        <w:rPr>
          <w:color w:val="555555"/>
          <w:sz w:val="18"/>
        </w:rPr>
        <w:t xml:space="preserve">Edelsteinfasser-Ausbildungsverordnung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Der Ausbildende hat unter Zugrundelegung des Ausbildungsrahmenplans für den Auszubildenden einen Ausbildungsplan zu erstellen.</w:t>
      </w:r>
    </w:p>
    <w:p>
      <w:r>
        <w:rPr>
          <w:color w:val="555555"/>
          <w:sz w:val="17"/>
        </w:rPr>
        <w:t xml:space="preserve">Zitiervorschlag: § 5 EdlStFAusbV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https://recht.nulegal.eu/gesetze/edlstfausbv--1992/5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