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eWpRV — Hinweise auf Bußgeldvorschriften des Gesetzes über elektronische Wertpapiere</w:t>
      </w:r>
    </w:p>
    <w:p>
      <w:r>
        <w:rPr>
          <w:color w:val="555555"/>
          <w:sz w:val="18"/>
        </w:rPr>
        <w:t xml:space="preserve">Verordnung über Anforderungen an elektronische Wertpapierregister</w:t>
      </w:r>
    </w:p>
    <w:p>
      <w:r>
        <w:rPr>
          <w:color w:val="555555"/>
          <w:sz w:val="18"/>
        </w:rPr>
        <w:t xml:space="preserve">Stand: 29.10.2022 (konsolidierte Textfassung, kein amtliches Inkrafttretensdatum)</w:t>
      </w:r>
    </w:p>
    <w:p>
      <w:r>
        <w:t xml:space="preserve">(1) Zuwiderhandlungen gegen § 7 Absatz 1 des Gesetzes über elektronische Wertpapiere, auch in Verbindung mit § 5 dieser Verordnung, können nach § 31 Absatz 2 Nummer 1 des Gesetzes über elektronische Wertpapiere geahndet werden.</w:t>
      </w:r>
    </w:p>
    <w:p>
      <w:r>
        <w:t xml:space="preserve">(2) Zuwiderhandlungen gegen § 18 Absatz 5 Satz 1 des Gesetzes über elektronische Wertpapiere, auch in Verbindung mit § 15 Absatz 2 dieser Verordnung, können nach § 31 Absatz 2 Nummer 13 des Gesetzes über elektronische Wertpapiere geahndet werden.</w:t>
      </w:r>
    </w:p>
    <w:p>
      <w:r>
        <w:rPr>
          <w:color w:val="555555"/>
          <w:sz w:val="17"/>
        </w:rPr>
        <w:t xml:space="preserve">Zitiervorschlag: § 22 eWpRV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https://recht.nulegal.eu/gesetze/eWpRV/22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