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eWpRV — Teilnehmer</w:t>
      </w:r>
    </w:p>
    <w:p>
      <w:r>
        <w:rPr>
          <w:color w:val="555555"/>
          <w:sz w:val="18"/>
        </w:rPr>
        <w:t xml:space="preserve">Verordnung über Anforderungen an elektronische Wertpapierregister</w:t>
      </w:r>
    </w:p>
    <w:p>
      <w:r>
        <w:rPr>
          <w:color w:val="555555"/>
          <w:sz w:val="18"/>
        </w:rPr>
        <w:t xml:space="preserve">Stand: 29.10.2022 (konsolidierte Textfassung, kein amtliches Inkrafttretensdatum)</w:t>
      </w:r>
    </w:p>
    <w:p>
      <w:r>
        <w:t xml:space="preserve">(1) Teilnehmer eines elektronischen Wertpapierregisters sind</w:t>
      </w:r>
    </w:p>
    <w:p>
      <w:pPr>
        <w:ind w:left="420"/>
      </w:pPr>
      <w:r>
        <w:t xml:space="preserve">1. der Emittent eines elektronischen Wertpapiers,</w:t>
      </w:r>
    </w:p>
    <w:p>
      <w:pPr>
        <w:ind w:left="420"/>
      </w:pPr>
      <w:r>
        <w:t xml:space="preserve">2. der Inhaber eines elektronischen Wertpapiers,</w:t>
      </w:r>
    </w:p>
    <w:p>
      <w:pPr>
        <w:ind w:left="420"/>
      </w:pPr>
      <w:r>
        <w:t xml:space="preserve">3. jede bestimmte Person, zugunsten derer in einem elektronischen Wertpapierregister eine Verfügungsbeschränkung gemäß § 13 Absatz 2 Satz 1 Nummer 1 oder § 17 Absatz 2 Satz 1 Nummer 1 des Gesetzes über elektronische Wertpapiere eingetragen ist, und</w:t>
      </w:r>
    </w:p>
    <w:p>
      <w:pPr>
        <w:ind w:left="420"/>
      </w:pPr>
      <w:r>
        <w:t xml:space="preserve">4. jeder Dritte, für den ein Recht in einem elektronischen Wertpapierregister gemäß § 13 Absatz 2 Satz 1 Nummer 2 oder § 17 Absatz 2 Satz 1 Nummer 2 des Gesetzes über elektronische Wertpapiere eingetragen ist.</w:t>
      </w:r>
    </w:p>
    <w:p>
      <w:r>
        <w:t xml:space="preserve">(2) Teilnehmer ist außerdem, wer aufgrund einer Vereinbarung mit der registerführenden Stelle Zugang zu den Funktionen des Registers erhält.</w:t>
      </w:r>
    </w:p>
    <w:p>
      <w:r>
        <w:rPr>
          <w:color w:val="555555"/>
          <w:sz w:val="17"/>
        </w:rPr>
        <w:t xml:space="preserve">Zitiervorschlag: § 2 eWpRV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