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eWpRV — Rückgängigmachung von Änderungen des Registerinhalts</w:t>
      </w:r>
    </w:p>
    <w:p>
      <w:r>
        <w:rPr>
          <w:color w:val="555555"/>
          <w:sz w:val="18"/>
        </w:rPr>
        <w:t xml:space="preserve">Verordnung über Anforderungen an elektronische Wertpapierregister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(1) Die registerführende Stelle hat das von ihr geführte Kryptowertpapierregister so einzurichten, dass sie Änderungen des Registerinhalts rückgängig machen kann, wenn die Voraussetzungen des § 18 Absatz 5 des Gesetzes über elektronische Wertpapiere erfüllt sind.</w:t>
      </w:r>
    </w:p>
    <w:p>
      <w:r>
        <w:t xml:space="preserve">(2) Die Rückgängigmachung einer Änderung des Registerinhalts gemäß § 18 Absatz 5 des Gesetzes über elektronische Wertpapiere muss so erfolgen, dass der Inhalt der weisungslos erfolgten Änderung weiterhin feststellbar ist. Änderungen müssen zudem erkennen lassen, zu welchem Zeitpunkt sie vorgenommen wurden.</w:t>
      </w:r>
    </w:p>
    <w:p>
      <w:r>
        <w:rPr>
          <w:color w:val="555555"/>
          <w:sz w:val="17"/>
        </w:rPr>
        <w:t xml:space="preserve">Zitiervorschlag: § 15 eWpRV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