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eWpRV — Dokumentationspflichten für die registerführende Stelle eines Kryptowertpapierregisters</w:t>
      </w:r>
    </w:p>
    <w:p>
      <w:r>
        <w:rPr>
          <w:color w:val="555555"/>
          <w:sz w:val="18"/>
        </w:rPr>
        <w:t xml:space="preserve">Verordnung über Anforderungen an elektronische Wertpapierregister</w:t>
      </w:r>
    </w:p>
    <w:p>
      <w:r>
        <w:rPr>
          <w:color w:val="555555"/>
          <w:sz w:val="18"/>
        </w:rPr>
        <w:t xml:space="preserve">Stand: 29.10.2022 (konsolidierte Textfassung, kein amtliches Inkrafttretensdatum)</w:t>
      </w:r>
    </w:p>
    <w:p>
      <w:r>
        <w:t xml:space="preserve">(1) Die registerführende Stelle nach § 16 Absatz 2 des Gesetzes über elektronische Wertpapiere hat in dem von ihr geführten Kryptowertpapierregister zusätzlich zu den in § 3 Absatz 1 genannten Gegenständen Folgendes in einer nachvollziehbaren, aussagefähigen und für einen sachkundigen Dritten leicht verständlichen Art und Weise zu dokumentieren:</w:t>
      </w:r>
    </w:p>
    <w:p>
      <w:pPr>
        <w:ind w:left="420"/>
      </w:pPr>
      <w:r>
        <w:t xml:space="preserve">1. die Einzelheiten des Verfahrens und der Eintragung nach § 4 Absatz 4 des Gesetzes über elektronische Wertpapiere,</w:t>
      </w:r>
    </w:p>
    <w:p>
      <w:pPr>
        <w:ind w:left="420"/>
      </w:pPr>
      <w:r>
        <w:t xml:space="preserve">2. die Einzelheiten der Berichtigung des Registers bei fehlender Zustimmung oder Weisung gemäß § 18 Absatz 5 des Gesetzes über elektronische Wertpapiere,</w:t>
      </w:r>
    </w:p>
    <w:p>
      <w:pPr>
        <w:ind w:left="420"/>
      </w:pPr>
      <w:r>
        <w:t xml:space="preserve">3. die Einzelheiten des Verfahrens für den Wechsel des Wertpapierregisters nach § 21 Absatz 2 und § 22 des Gesetzes über elektronische Wertpapiere einschließlich der Einzelheiten des Datentransfers in ein anderes elektronisches Wertpapierregister,</w:t>
      </w:r>
    </w:p>
    <w:p>
      <w:pPr>
        <w:ind w:left="420"/>
      </w:pPr>
      <w:r>
        <w:t xml:space="preserve">4. Kriterien für die Teilnahme am Register, die einen fairen und offenen Zugang ermöglichen sowie</w:t>
      </w:r>
    </w:p>
    <w:p>
      <w:pPr>
        <w:ind w:left="420"/>
      </w:pPr>
      <w:r>
        <w:t xml:space="preserve">5. Art, Format und Inhalt des Registerauszugs nach § 19 des Gesetzes über elektronische Wertpapiere.</w:t>
      </w:r>
    </w:p>
    <w:p>
      <w:r>
        <w:t xml:space="preserve">(2) § 3 Absatz 2 bis 4 gilt entsprechend.</w:t>
      </w:r>
    </w:p>
    <w:p>
      <w:r>
        <w:rPr>
          <w:color w:val="555555"/>
          <w:sz w:val="17"/>
        </w:rPr>
        <w:t xml:space="preserve">Zitiervorschlag: § 13 eWpRV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https://recht.nulegal.eu/gesetze/eWpRV/13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