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eWpRV — Anforderungen an den angemessenen Zeitraum und die Gültigkeit von Umtragungen nach § 14 Absatz 4 oder § 18 Absatz 4 des Gesetzes über elektronische Wertpapiere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Die registerführende Stelle teilt den Teilnehmern in elektronisch lesbarer Form den für das elektronische Wertpapierregister als angemessen geltenden Zeitraum für Umtragungen und die Anforderungen an die Gültigkeit der Umtragungen nach § 14 Absatz 4 des Gesetzes über elektronische Wertpapiere bei zentralen Registern oder nach § 18 Absatz 4 des Gesetzes über elektronische Wertpapiere bei Kryptowertpapierregistern mit. Die registerführende Stelle stellt die nach Satz 1 mitzuteilenden Festlegungen jederzeit im Internet abrufbar zur Verfügung. Änderungen der nach Satz 1 mitzuteilenden Festlegungen sind fortlaufend nummeriert und zeitlich protokolliert zu dokumentieren und den Teilnehmern gemäß Satz 1 mitzuteilen und gemäß Satz 2 zur Verfügung zu stellen.</w:t>
      </w:r>
    </w:p>
    <w:p>
      <w:r>
        <w:t xml:space="preserve">(2) Die registerführende Stelle nach § 16 Absatz 2 des Gesetzes über elektronische Wertpapiere hat bei den nach Absatz 1 Satz 1 mitzuteilenden Festlegungen und deren Änderung den besonderen Risiken eines im Rahmen des Aufzeichnungssystems (§ 4 Absatz 11 des Gesetzes über elektronische Wertpapiere) verwendeten Konsensverfahrens Rechnung zu tragen und sicherzustellen, dass eine einmal gültige Eintragung oder Umtragung auch an jedem späteren Zeitpunkt gültig bleibt.</w:t>
      </w:r>
    </w:p>
    <w:p>
      <w:r>
        <w:rPr>
          <w:color w:val="555555"/>
          <w:sz w:val="17"/>
        </w:rPr>
        <w:t xml:space="preserve">Zitiervorschlag: § 12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