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eWpRV — Anforderungen an die Identifizierung des Weisungsberechtigten und das Authentifizierungsinstrument nach § 14 Absatz 1 oder § 18 Absatz 1 des Gesetzes über elektronische Wertpapiere</w:t>
      </w:r>
    </w:p>
    <w:p>
      <w:r>
        <w:rPr>
          <w:color w:val="555555"/>
          <w:sz w:val="18"/>
        </w:rPr>
        <w:t xml:space="preserve">Verordnung über Anforderungen an elektronische Wertpapierregister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(1) Derjenige, der Weisungen nach § 14 Absatz 1 Satz 1 oder § 18 Absatz 1 Satz 1 des Gesetzes über elektronische Wertpapiere erteilt, hat gegenüber der registerführenden Stelle seine Identität durch geeignete Nachweise zu belegen. Satz 1 gilt bei juristischen Personen oder Personengesellschaften auch für die für diese auftretende Person sowie für den Nachweis, dass diese hierzu berechtigt ist.</w:t>
      </w:r>
    </w:p>
    <w:p>
      <w:r>
        <w:t xml:space="preserve">(2) Die registerführende Stelle hat bei der Identifizierung nach Absatz 1 folgende Angaben zu erheben:</w:t>
      </w:r>
    </w:p>
    <w:p>
      <w:pPr>
        <w:ind w:left="420"/>
      </w:pPr>
      <w:r>
        <w:t xml:space="preserve">1. bei einer natürlichen Person:</w:t>
      </w:r>
    </w:p>
    <w:p>
      <w:pPr>
        <w:ind w:left="780"/>
      </w:pPr>
      <w:r>
        <w:t xml:space="preserve">a) Vorname und Nachname,</w:t>
      </w:r>
    </w:p>
    <w:p>
      <w:pPr>
        <w:ind w:left="780"/>
      </w:pPr>
      <w:r>
        <w:t xml:space="preserve">b) Geburtsort,</w:t>
      </w:r>
    </w:p>
    <w:p>
      <w:pPr>
        <w:ind w:left="780"/>
      </w:pPr>
      <w:r>
        <w:t xml:space="preserve">c) Geburtsdatum,</w:t>
      </w:r>
    </w:p>
    <w:p>
      <w:pPr>
        <w:ind w:left="780"/>
      </w:pPr>
      <w:r>
        <w:t xml:space="preserve">d) Staatsangehörigkeit und</w:t>
      </w:r>
    </w:p>
    <w:p>
      <w:pPr>
        <w:ind w:left="780"/>
      </w:pPr>
      <w:r>
        <w:t xml:space="preserve">e) Anschrift;</w:t>
      </w:r>
    </w:p>
    <w:p>
      <w:pPr>
        <w:ind w:left="420"/>
      </w:pPr>
      <w:r>
        <w:t xml:space="preserve">2. bei einer juristischen Person oder Personengesellschaft:</w:t>
      </w:r>
    </w:p>
    <w:p>
      <w:pPr>
        <w:ind w:left="780"/>
      </w:pPr>
      <w:r>
        <w:t xml:space="preserve">a) Firma, Name oder Bezeichnung,</w:t>
      </w:r>
    </w:p>
    <w:p>
      <w:pPr>
        <w:ind w:left="780"/>
      </w:pPr>
      <w:r>
        <w:t xml:space="preserve">b) Rechtsform,</w:t>
      </w:r>
    </w:p>
    <w:p>
      <w:pPr>
        <w:ind w:left="780"/>
      </w:pPr>
      <w:r>
        <w:t xml:space="preserve">c) Registernummer, falls vorhanden,</w:t>
      </w:r>
    </w:p>
    <w:p>
      <w:pPr>
        <w:ind w:left="780"/>
      </w:pPr>
      <w:r>
        <w:t xml:space="preserve">d) Anschrift des Sitzes oder der Hauptniederlassung und</w:t>
      </w:r>
    </w:p>
    <w:p>
      <w:pPr>
        <w:ind w:left="780"/>
      </w:pPr>
      <w:r>
        <w:t xml:space="preserve">e) die Vor- und Nachnamen der Mitglieder des Vertretungsorgans oder die Vor- und Nachnamen der gesetzlichen Vertreter und, sofern ein Mitglied des Vertretungsorgans oder der gesetzliche Vertreter eine juristische Person ist, von dieser Person die Angaben nach den Buchstaben a bis d.</w:t>
      </w:r>
    </w:p>
    <w:p>
      <w:r>
        <w:t xml:space="preserve">Die registerführende Stelle darf die nach Satz 1 erhobenen personenbezogenen Daten speichern und verwenden, soweit dies zur Erfüllung ihrer Aufgaben nach dieser Vorschrift erforderlich ist.</w:t>
      </w:r>
    </w:p>
    <w:p>
      <w:r>
        <w:t xml:space="preserve">(3) Die registerführende Stelle hat die Angaben nach Absatz 2 Satz 1 anhand geeigneter Nachweise zu überprüfen. Geeignete Nachweise sind</w:t>
      </w:r>
    </w:p>
    <w:p>
      <w:pPr>
        <w:ind w:left="420"/>
      </w:pPr>
      <w:r>
        <w:t xml:space="preserve">1. bei natürlichen Personen: einer der in § 12 Absatz 1 Satz 1 Nummer 1 bis 5 des Geldwäschegesetzes genannten Nachweise sowie</w:t>
      </w:r>
    </w:p>
    <w:p>
      <w:pPr>
        <w:ind w:left="420"/>
      </w:pPr>
      <w:r>
        <w:t xml:space="preserve">2. bei juristischen Personen oder Personengesellschaften: einer der in § 12 Absatz 2 Nummer 1 bis 3 des Geldwäschegesetzes genannten Nachweise.</w:t>
      </w:r>
    </w:p>
    <w:p>
      <w:r>
        <w:t xml:space="preserve">(4) Die registerführende Stelle hat die Überprüfung der Nachweise nach einem Verfahren gemäß § 13 des Geldwäschegesetzes vorzunehmen. Bei der Überprüfung eines Nachweises anhand einer qualifizierten elektronischen Signatur nach § 12 Absatz 1 Satz 1 Nummer 3 des Geldwäschegesetzes hat sie zudem die Vorgaben in § 12 Absatz 1 Satz 2 und 3 des Geldwäschegesetzes zu erfüllen.</w:t>
      </w:r>
    </w:p>
    <w:p>
      <w:r>
        <w:t xml:space="preserve">(5) Die registerführende Stelle kann bei der Erhebung der Angaben nach Absatz 2 und bei deren Überprüfung gemäß Absatz 3 nach Maßgabe des § 17 des Geldwäschegesetzes auf Dritte zurückgreifen. Für die Dritten gilt Absatz 4 entsprechend.</w:t>
      </w:r>
    </w:p>
    <w:p>
      <w:r>
        <w:t xml:space="preserve">(6) Eine kryptografische Signatur oder ein vergleichbares Authentifizierungsinstrument ist als geeignet im Sinne des § 14 Absatz 1 Satz 5 und des § 18 Absatz 1 Satz 5 des Gesetzes über elektronische Wertpapiere anzusehen, wenn</w:t>
      </w:r>
    </w:p>
    <w:p>
      <w:pPr>
        <w:ind w:left="420"/>
      </w:pPr>
      <w:r>
        <w:t xml:space="preserve">1. die verwendeten Verfahren dem Stand der Technik entsprechen und</w:t>
      </w:r>
    </w:p>
    <w:p>
      <w:pPr>
        <w:ind w:left="420"/>
      </w:pPr>
      <w:r>
        <w:t xml:space="preserve">2. die registerführende Stelle die verwendete Signatur oder das verwendete vergleichbare Authentifizierungsinstrument derjenigen natürlichen oder juristischen Person oder Personengesellschaft, die die Weisung erteilt hat, zuverlässig zuordnen kann.</w:t>
      </w:r>
    </w:p>
    <w:p>
      <w:r>
        <w:rPr>
          <w:color w:val="555555"/>
          <w:sz w:val="17"/>
        </w:rPr>
        <w:t xml:space="preserve">Zitiervorschlag: § 11 eWpRV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