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eWpG — Sondervorschrift für Sammeleintragungen</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Elektronische Wertpapiere in Sammeleintragung gelten als Wertpapiersammelbestand. Die Berechtigten der eingetragenen inhaltsgleichen Rechte gelten als Miteigentümer nach Bruchteilen an dem eingetragenen elektronischen Wertpapier. Der jeweilige Anteil bestimmt sich nach dem Nennbetrag der für den Berechtigten in Sammeleintragung genommenen Rechte, bei Stückaktien nach deren Zahl.</w:t>
      </w:r>
    </w:p>
    <w:p>
      <w:r>
        <w:t xml:space="preserve">(2) Die Wertpapiersammelbank oder ein Verwahrer verwaltet die Sammeleintragung treuhänderisch für die Berechtigten, ohne selbst Berechtigter zu sein. Die Wertpapiersammelbank oder ein Verwahrer kann die Sammeleintragung für die Berechtigten gemeinsam mit eigenen Anteilen verwalten.</w:t>
      </w:r>
    </w:p>
    <w:p>
      <w:r>
        <w:t xml:space="preserve">(3) Besteht die Gesamtemission als Mischbestand teils aus einer Sammeleintragung und teils aus mittels Urkunde begebenen Wertpapieren oder Wertpapieren in Einzeleintragung im selben Register, so gelten diese Teile als ein einheitlicher Sammelbestand, wenn dies im Register zur Sammeleintragung vermerkt ist.</w:t>
      </w:r>
    </w:p>
    <w:p>
      <w:r>
        <w:rPr>
          <w:color w:val="555555"/>
          <w:sz w:val="17"/>
        </w:rPr>
        <w:t xml:space="preserve">Zitiervorschlag: § 9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