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eWpG — Registerführung; Schadenersatz</w:t>
      </w:r>
    </w:p>
    <w:p>
      <w:r>
        <w:rPr>
          <w:color w:val="555555"/>
          <w:sz w:val="18"/>
        </w:rPr>
        <w:t xml:space="preserve">Gesetz über elektronische Wertpapiere</w:t>
      </w:r>
    </w:p>
    <w:p>
      <w:r>
        <w:rPr>
          <w:color w:val="555555"/>
          <w:sz w:val="18"/>
        </w:rPr>
        <w:t xml:space="preserve">Stand: 10.06.2021 (konsolidierte Textfassung, kein amtliches Inkrafttretensdatum)</w:t>
      </w:r>
    </w:p>
    <w:p>
      <w:r>
        <w:t xml:space="preserve">(1) Die registerführende Stelle hat ein elektronisches Wertpapierregister so zu führen, dass Vertraulichkeit, Integrität und Authentizität der Daten gewährleistet sind.</w:t>
      </w:r>
    </w:p>
    <w:p>
      <w:r>
        <w:t xml:space="preserve">(2) Die registerführende Stelle hat sicherzustellen, dass das elektronische Wertpapierregister jederzeit die bestehende Rechtslage zutreffend wiedergibt und Eintragungen sowie Umtragungen vollständig und ordnungsgemäß erfolgen. Sie ist dem Berechtigten zum Ersatz des Schadens verpflichtet, der durch eine Satz 1 nicht entsprechende Registerführung entsteht, es sei denn, sie hat den Fehler nicht zu vertreten.</w:t>
      </w:r>
    </w:p>
    <w:p>
      <w:r>
        <w:t xml:space="preserve">(3) Die registerführende Stelle hat die erforderlichen technischen und organisatorischen Maßnahmen zu treffen, um einen Datenverlust oder eine unbefugte Datenveränderung über die gesamte Dauer, für die das elektronische Wertpapier eingetragen ist, zu verhindern. Trifft die registerführende Stelle nicht die nach Satz 1 erforderlichen Maßnahmen, so haftet sie dem Berechtigten für den Schaden, der auf Grund des Datenverlustes oder der unbefugten Datenveränderung entsteht. Die registerführende Stelle hat sicherzustellen, dass der Gesamtbestand der vom Emittenten jeweils elektronisch begebenen Wertpapiere durch Eintragungen und Umtragungen nicht verändert wird.</w:t>
      </w:r>
    </w:p>
    <w:p>
      <w:r>
        <w:t xml:space="preserve">(4) Die Registerführung als solche stellt keine Verwahrung im Sinne des Depotgesetzes dar.</w:t>
      </w:r>
    </w:p>
    <w:p>
      <w:r>
        <w:rPr>
          <w:color w:val="555555"/>
          <w:sz w:val="17"/>
        </w:rPr>
        <w:t xml:space="preserve">Zitiervorschlag: § 7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