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eWpG — Verhältnis zu Wertpapierurkunden</w:t>
      </w:r>
    </w:p>
    <w:p>
      <w:r>
        <w:rPr>
          <w:color w:val="555555"/>
          <w:sz w:val="18"/>
        </w:rPr>
        <w:t xml:space="preserve">Gesetz über elektronische Wertpapiere</w:t>
      </w:r>
    </w:p>
    <w:p>
      <w:r>
        <w:rPr>
          <w:color w:val="555555"/>
          <w:sz w:val="18"/>
        </w:rPr>
        <w:t xml:space="preserve">Stand: 15.12.2023 (konsolidierte Textfassung, kein amtliches Inkrafttretensdatum)</w:t>
      </w:r>
    </w:p>
    <w:p>
      <w:r>
        <w:t xml:space="preserve">(1) Ein Anspruch auf Ausreichung einzelner Wertpapierurkunden besteht nicht. Das gilt nicht, wenn die Emissionsbedingungen des elektronischen Wertpapiers oder im Fall von elektronischen Aktien die Satzung der Aktiengesellschaft einen solchen Anspruch ausdrücklich vorsehen.</w:t>
      </w:r>
    </w:p>
    <w:p>
      <w:r>
        <w:t xml:space="preserve">(2) Der Emittent kann ein elektronisches Wertpapier durch ein inhaltsgleiches mittels Urkunde begebenes Wertpapier ersetzen, wenn</w:t>
      </w:r>
    </w:p>
    <w:p>
      <w:pPr>
        <w:ind w:left="420"/>
      </w:pPr>
      <w:r>
        <w:t xml:space="preserve">1. der Berechtigte zustimmt oder</w:t>
      </w:r>
    </w:p>
    <w:p>
      <w:pPr>
        <w:ind w:left="420"/>
      </w:pPr>
      <w:r>
        <w:t xml:space="preserve">2. die Emissionsbedingungen oder im Fall von elektronischen Aktien die Satzung der Aktiengesellschaft eine solche Ersetzung ohne Zustimmung des Berechtigten ausdrücklich zulassen.</w:t>
      </w:r>
    </w:p>
    <w:p>
      <w:r>
        <w:t xml:space="preserve">Das elektronische Wertpapier ist im Falle einer Ersetzung durch ein mittels Urkunde begebenes Wertpapier aus dem Register zu löschen. An die Stelle der Eintragung im Register tritt die Verkörperung des Rechts in der neu zu begebenden Urkunde, sobald die Löschung vollzogen und die Urkunde ausgestellt ist.</w:t>
      </w:r>
    </w:p>
    <w:p>
      <w:r>
        <w:t xml:space="preserve">(3) Der Emittent kann ein Wertpapier, das mittels Sammelurkunde begeben wurde oder mittels Einzelurkunden, die in Sammelverwahrung verwahrt werden, jederzeit und ohne Zustimmung der Berechtigten durch ein inhaltsgleiches Zentralregisterwertpapier ersetzen, wenn</w:t>
      </w:r>
    </w:p>
    <w:p>
      <w:pPr>
        <w:ind w:left="420"/>
      </w:pPr>
      <w:r>
        <w:t xml:space="preserve">1. das Zentralregisterwertpapier in ein bei einer Wertpapiersammelbank geführtes zentrales Register eingetragen wird,</w:t>
      </w:r>
    </w:p>
    <w:p>
      <w:pPr>
        <w:ind w:left="420"/>
      </w:pPr>
      <w:r>
        <w:t xml:space="preserve">2. für das Zentralregisterwertpapier eine Wertpapiersammelbank als Inhaber eingetragen wird und</w:t>
      </w:r>
    </w:p>
    <w:p>
      <w:pPr>
        <w:ind w:left="420"/>
      </w:pPr>
      <w:r>
        <w:t xml:space="preserve">3. dies in den Emissionsbedingungen oder im Fall von elektronischen Aktien in der Satzung der Aktiengesellschaft</w:t>
      </w:r>
    </w:p>
    <w:p>
      <w:pPr>
        <w:ind w:left="780"/>
      </w:pPr>
      <w:r>
        <w:t xml:space="preserve">a) nicht ausgeschlossen ist oder</w:t>
      </w:r>
    </w:p>
    <w:p>
      <w:pPr>
        <w:ind w:left="780"/>
      </w:pPr>
      <w:r>
        <w:t xml:space="preserve">b) nicht von der Zustimmung der Berechtigten abhängig gemacht wird.</w:t>
      </w:r>
    </w:p>
    <w:p>
      <w:r>
        <w:t xml:space="preserve">Mit der Eintragung des Zentralregisterwertpapiers wird die Urkunde kraftlos.</w:t>
      </w:r>
    </w:p>
    <w:p>
      <w:r>
        <w:t xml:space="preserve">(4) In allen anderen als den in Absatz 3 geregelten Fällen setzt die Ersetzung eines mittels Urkunde begebenen Wertpapiers durch ein elektronisches Wertpapier die ausdrückliche Zustimmung des Berechtigten voraus. Mit der Eintragung des elektronischen Wertpapiers wird die Urkunde kraftlos.</w:t>
      </w:r>
    </w:p>
    <w:p>
      <w:r>
        <w:t xml:space="preserve">(5) Bei elektronischen Aktien setzt die Anwendung des Absatzes 2 voraus, dass die Satzung der Aktiengesellschaft die Verbriefung nicht ausschließt. Die Anwendung der Absätze 3 und 4 setzt voraus, dass die Satzung der Aktiengesellschaft die Verbriefung für solche Aktien ausschließt, die als elektronische Aktien in einem elektronischen Wertpapierregister eingetragen werden.</w:t>
      </w:r>
    </w:p>
    <w:p>
      <w:r>
        <w:rPr>
          <w:color w:val="555555"/>
          <w:sz w:val="17"/>
        </w:rPr>
        <w:t xml:space="preserve">Zitiervorschlag: § 6 eWpG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