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eWpG — Begriffsbestimmungen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(1) Elektronische Wertpapierregister sind</w:t>
      </w:r>
    </w:p>
    <w:p>
      <w:pPr>
        <w:ind w:left="420"/>
      </w:pPr>
      <w:r>
        <w:t xml:space="preserve">1. zentrale Register gemäß § 12 und</w:t>
      </w:r>
    </w:p>
    <w:p>
      <w:pPr>
        <w:ind w:left="420"/>
      </w:pPr>
      <w:r>
        <w:t xml:space="preserve">2. Kryptowertpapierregister gemäß § 16.</w:t>
      </w:r>
    </w:p>
    <w:p>
      <w:r>
        <w:t xml:space="preserve">(2) Ein Zentralregisterwertpapier ist ein elektronisches Wertpapier, das in ein zentrales Register eingetragen ist.</w:t>
      </w:r>
    </w:p>
    <w:p>
      <w:r>
        <w:t xml:space="preserve">(3) Ein Kryptowertpapier ist ein elektronisches Wertpapier, das in ein Kryptowertpapierregister eingetragen ist.</w:t>
      </w:r>
    </w:p>
    <w:p>
      <w:r>
        <w:t xml:space="preserve">(4) Eintragung eines elektronischen Wertpapiers ist die Aufnahme der für ein elektronisches Wertpapier nach § 13 oder § 17 erforderlichen Registerangaben in ein elektronisches Wertpapierregister unter eindeutiger und unmittelbar erkennbarer Bezugnahme auf die niedergelegten Emissionsbedingungen.</w:t>
      </w:r>
    </w:p>
    <w:p>
      <w:r>
        <w:t xml:space="preserve">(5) Eine Wertpapiersammelbank ist eine nach Artikel 16 der Verordnung (EU) Nr. 909/2014 des Europäischen Parlaments und des Rates vom 23. Juli 2014 zur Verbesserung der Wertpapierlieferungen und -abrechnungen in der Europäischen Union und über Zentralverwahrer sowie zur Änderung der Richtlinien 98/26/EG und 2014/65/EU und der Verordnung (EU) Nr. 236/2012 (ABl. L 257 vom 28.8.2014, S. 1; L 349 vom 21.12.2016, S. 5), die zuletzt durch die Delegierte Verordnung (EU) 2018/1229 (ABl. L 230 vom 13.9.2018, S. 1) geändert worden ist, als Zentralverwahrer zugelassene juristische Person, die in Abschnitt A des Anhangs zur Verordnung (EU) Nr. 909/2014 genannte Kerndienstleistungen im Inland erbringt.</w:t>
      </w:r>
    </w:p>
    <w:p>
      <w:r>
        <w:t xml:space="preserve">(6) Verwahrer ist, wer über die Erlaubnis zum Betreiben des Depotgeschäfts im Inland verfügt.</w:t>
      </w:r>
    </w:p>
    <w:p>
      <w:r>
        <w:t xml:space="preserve">(7) Emissionsbedingungen sind der niedergelegte Inhalt des Rechts, für das ein elektronisches Wertpapier eingetragen wird, einschließlich der Nebenbestimmungen.</w:t>
      </w:r>
    </w:p>
    <w:p>
      <w:r>
        <w:t xml:space="preserve">(8) Umtragung ist die Ersetzung des Inhabers eines im elektronischen Wertpapierregister eingetragenen elektronischen Wertpapiers durch einen neuen Inhaber.</w:t>
      </w:r>
    </w:p>
    <w:p>
      <w:r>
        <w:t xml:space="preserve">(9) Löschung ist die Kenntlichmachung eines eingetragenen elektronischen Wertpapiers und seiner niedergelegten Emissionsbedingungen als gegenstandslos.</w:t>
      </w:r>
    </w:p>
    <w:p>
      <w:r>
        <w:t xml:space="preserve">(10) Registerführende Stellen sind die in § 12 Absatz 2 und § 16 Absatz 2 bezeichneten Stellen.</w:t>
      </w:r>
    </w:p>
    <w:p>
      <w:r>
        <w:t xml:space="preserve">(11) Ein Aufzeichnungssystem ist ein dezentraler Zusammenschluss, in dem die Kontrollrechte zwischen den das jeweilige System betreibenden Einheiten nach einem im Vorhinein festgelegten Muster verteilt sind.</w:t>
      </w:r>
    </w:p>
    <w:p>
      <w:r>
        <w:rPr>
          <w:color w:val="555555"/>
          <w:sz w:val="17"/>
        </w:rPr>
        <w:t xml:space="preserve">Zitiervorschlag: § 4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