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eWpG — Anwendbares Recht</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(1) Soweit nicht § 17a des Depotgesetzes anzuwenden ist, unterliegen Rechte an einem elektronischen Wertpapier und Verfügungen über ein elektronisches Wertpapier dem Recht des Staates, unter dessen Aufsicht diejenige registerführende Stelle steht, in deren elektronischem Wertpapierregister das Wertpapier eingetragen ist.</w:t>
      </w:r>
    </w:p>
    <w:p>
      <w:r>
        <w:t xml:space="preserve">(2) Steht die registerführende Stelle nicht unter Aufsicht, so ist der Sitz der registerführenden Stelle maßgebend. Ist der Sitz der registerführenden Stelle nicht bestimmbar, so ist der Sitz des Emittenten des elektronischen Wertpapiers maßgebend.</w:t>
      </w:r>
    </w:p>
    <w:p>
      <w:r>
        <w:rPr>
          <w:color w:val="555555"/>
          <w:sz w:val="17"/>
        </w:rPr>
        <w:t xml:space="preserve">Zitiervorschlag: § 32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