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30b eWpG — Umtragung bei Ausschluss säumiger Aktionäre</w:t>
      </w:r>
    </w:p>
    <w:p>
      <w:r>
        <w:rPr>
          <w:color w:val="555555"/>
          <w:sz w:val="18"/>
        </w:rPr>
        <w:t xml:space="preserve">Gesetz über elektronische Wertpapiere</w:t>
      </w:r>
    </w:p>
    <w:p>
      <w:r>
        <w:rPr>
          <w:color w:val="555555"/>
          <w:sz w:val="18"/>
        </w:rPr>
        <w:t xml:space="preserve">Stand: 15.12.2023 (konsolidierte Textfassung, kein amtliches Inkrafttretensdatum)</w:t>
      </w:r>
    </w:p>
    <w:p>
      <w:r>
        <w:t xml:space="preserve">Der Emittent ist berechtigt, die Aktien, die zugunsten eines nach § 64 Absatz 3 des Aktiengesetzes ausgeschlossenen Aktionärs im elektronischen Wertpapierregister eingetragen sind, auf denjenigen Vormann umtragen zu lassen, der nach § 65 Absatz 1 des Aktiengesetzes den rückständigen Betrag gezahlt hat. Der Emittent hat hierfür gegenüber der registerführenden Stelle den Ausschluss des Aktionärs durch Bekanntmachung in den Gesellschaftsblättern nach § 64 Absatz 3 Satz 1 des Aktiengesetzes nachzuweisen. § 64 Absatz 4 Satz 1 des Aktiengesetzes ist nicht anzuwenden.</w:t>
      </w:r>
    </w:p>
    <w:p>
      <w:r>
        <w:rPr>
          <w:color w:val="555555"/>
          <w:sz w:val="17"/>
        </w:rPr>
        <w:t xml:space="preserve">Zitiervorschlag: § 30b eWpG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https://recht.nulegal.eu/gesetze/eWpG/30b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