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eWpG — Inhaber und Berechtigter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10.06.2021 (konsolidierte Textfassung, kein amtliches Inkrafttretensdatum)</w:t>
      </w:r>
    </w:p>
    <w:p>
      <w:r>
        <w:t xml:space="preserve">(1) Inhaber eines elektronischen Wertpapiers ist derjenige, der als Inhaber eines elektronischen Wertpapiers oder eines bestimmten Anteils an einer Gesamtemission in einem elektronischen Wertpapierregister eingetragen ist.</w:t>
      </w:r>
    </w:p>
    <w:p>
      <w:r>
        <w:t xml:space="preserve">(2) Berechtigter im Sinne dieses Gesetzes ist, wer das Recht aus einem Wertpapier innehat.</w:t>
      </w:r>
    </w:p>
    <w:p>
      <w:r>
        <w:rPr>
          <w:color w:val="555555"/>
          <w:sz w:val="17"/>
        </w:rPr>
        <w:t xml:space="preserve">Zitiervorschlag: § 3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