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eWpG — Leistungspflicht nur gegen Umtragung; Erlöschen</w:t>
      </w:r>
    </w:p>
    <w:p>
      <w:r>
        <w:rPr>
          <w:color w:val="555555"/>
          <w:sz w:val="18"/>
        </w:rPr>
        <w:t xml:space="preserve">Gesetz über elektronische Wertpapiere</w:t>
      </w:r>
    </w:p>
    <w:p>
      <w:r>
        <w:rPr>
          <w:color w:val="555555"/>
          <w:sz w:val="18"/>
        </w:rPr>
        <w:t xml:space="preserve">Stand: 10.06.2021 (konsolidierte Textfassung, kein amtliches Inkrafttretensdatum)</w:t>
      </w:r>
    </w:p>
    <w:p>
      <w:r>
        <w:t xml:space="preserve">(1) Der Emittent einer elektronisch begebenen Schuldverschreibung ist zur Leistung aus der Schuldverschreibung nur verpflichtet, wenn der Inhaber gegenüber der registerführenden Stelle eine Weisung zur Umtragung auf den Emittenten bei Zahlungsnachweis erteilt.</w:t>
      </w:r>
    </w:p>
    <w:p>
      <w:r>
        <w:t xml:space="preserve">(2) Die Vorlegung einer elektronisch begebenen Schuldverschreibung im Sinne des § 801 des Bürgerlichen Gesetzbuchs erfolgt durch ausdrückliches Verlangen der Leistung unter Glaubhaftmachung der Berechtigung.</w:t>
      </w:r>
    </w:p>
    <w:p>
      <w:r>
        <w:rPr>
          <w:color w:val="555555"/>
          <w:sz w:val="17"/>
        </w:rPr>
        <w:t xml:space="preserve">Zitiervorschlag: § 29 eWpG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https://recht.nulegal.eu/gesetze/eWpG/29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