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eWpG — Eigentumsvermutung für den Inhaber</w:t>
      </w:r>
    </w:p>
    <w:p>
      <w:r>
        <w:rPr>
          <w:color w:val="555555"/>
          <w:sz w:val="18"/>
        </w:rPr>
        <w:t xml:space="preserve">Gesetz über elektronische Wertpapiere</w:t>
      </w:r>
    </w:p>
    <w:p>
      <w:r>
        <w:rPr>
          <w:color w:val="555555"/>
          <w:sz w:val="18"/>
        </w:rPr>
        <w:t xml:space="preserve">Stand: 10.06.2021 (konsolidierte Textfassung, kein amtliches Inkrafttretensdatum)</w:t>
      </w:r>
    </w:p>
    <w:p>
      <w:r>
        <w:t xml:space="preserve">Sofern dieses Gesetz nichts anderes vorsieht, wird zugunsten des Inhabers eines elektronischen Wertpapiers vermutet, dass er für die Dauer seiner Eintragung als Inhaber Eigentümer des Wertpapiers ist.</w:t>
      </w:r>
    </w:p>
    <w:p>
      <w:r>
        <w:rPr>
          <w:color w:val="555555"/>
          <w:sz w:val="17"/>
        </w:rPr>
        <w:t xml:space="preserve">Zitiervorschlag: § 27 eWpG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https://recht.nulegal.eu/gesetze/eWpG/27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