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eWpG — Verfügungstransparenz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Folgende Verfügungen bedürfen vorbehaltlich der sonstigen gesetzlichen Anforderungen zu ihrer Wirksamkeit einer Eintragung oder Umtragung in dem elektronischen Wertpapierregister:</w:t>
      </w:r>
    </w:p>
    <w:p>
      <w:pPr>
        <w:ind w:left="420"/>
      </w:pPr>
      <w:r>
        <w:t xml:space="preserve">1. Verfügungen über ein elektronisches Wertpapier,</w:t>
      </w:r>
    </w:p>
    <w:p>
      <w:pPr>
        <w:ind w:left="420"/>
      </w:pPr>
      <w:r>
        <w:t xml:space="preserve">2. Verfügungen über ein Recht aus einem elektronischen Wertpapier oder über ein Recht an einem solchen Recht oder</w:t>
      </w:r>
    </w:p>
    <w:p>
      <w:pPr>
        <w:ind w:left="420"/>
      </w:pPr>
      <w:r>
        <w:t xml:space="preserve">3. Verfügungen über ein Recht an einem elektronischen Wertpapier oder über ein Recht an einem solchen Recht.</w:t>
      </w:r>
    </w:p>
    <w:p>
      <w:r>
        <w:rPr>
          <w:color w:val="555555"/>
          <w:sz w:val="17"/>
        </w:rPr>
        <w:t xml:space="preserve">Zitiervorschlag: § 24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