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eWpG — Verordnungsermächtigung in Bezug auf Kryptowertpapierregister</w:t>
      </w:r>
    </w:p>
    <w:p>
      <w:r>
        <w:rPr>
          <w:color w:val="555555"/>
          <w:sz w:val="18"/>
        </w:rPr>
        <w:t xml:space="preserve">Gesetz über elektronische Wertpapiere</w:t>
      </w:r>
    </w:p>
    <w:p>
      <w:r>
        <w:rPr>
          <w:color w:val="555555"/>
          <w:sz w:val="18"/>
        </w:rPr>
        <w:t xml:space="preserve">Stand: 14.03.2026 (konsolidierte Textfassung, kein amtliches Inkrafttretensdatum)</w:t>
      </w:r>
    </w:p>
    <w:p>
      <w:r>
        <w:t xml:space="preserve">(1) Das Bundesministerium der Justiz und für Verbraucherschutz und das Bundesministerium der Finanzen können für Kryptowertpapierregister durch gemeinsame Rechtsverordnung, die nicht der Zustimmung des Bundesrates bedarf, nähere Bestimmungen erlassen über</w:t>
      </w:r>
    </w:p>
    <w:p>
      <w:pPr>
        <w:ind w:left="420"/>
      </w:pPr>
      <w:r>
        <w:t xml:space="preserve">1. das Verfahren und die Einzelheiten der Eintragung nach § 4 Absatz 4,</w:t>
      </w:r>
    </w:p>
    <w:p>
      <w:pPr>
        <w:ind w:left="420"/>
      </w:pPr>
      <w:r>
        <w:t xml:space="preserve">2. die technischen Anforderungen an die Niederlegung der Emissionsbedingungen nach § 5, einschließlich der Darstellung von Änderungen und des Datenzugangs, sowie die Bedingungen für die Beschränkung des Zugangs zu den Emissionsbedingungen nach § 5 Absatz 1 Satz 2,</w:t>
      </w:r>
    </w:p>
    <w:p>
      <w:pPr>
        <w:ind w:left="420"/>
      </w:pPr>
      <w:r>
        <w:t xml:space="preserve">3. das Verfahren zum Wechsel der Begebungsform oder der Auslieferung von Einzelurkunden nach § 6,</w:t>
      </w:r>
    </w:p>
    <w:p>
      <w:pPr>
        <w:ind w:left="420"/>
      </w:pPr>
      <w:r>
        <w:t xml:space="preserve">4. die Einrichtung und die Führung des Registers nach § 7, einschließlich der für die Kryptowertpapierregister vorzusehenden Eintragungsarten nach § 8 Absatz 1,</w:t>
      </w:r>
    </w:p>
    <w:p>
      <w:pPr>
        <w:ind w:left="420"/>
      </w:pPr>
      <w:r>
        <w:t xml:space="preserve">5. den zu erwartenden Sorgfaltsmaßstab für die Abbildung der Rechtslage nach § 7 Absatz 2 sowie die Regelungen zur Rückgängigmachung von Eintragungen nach § 18 Absatz 5,</w:t>
      </w:r>
    </w:p>
    <w:p>
      <w:pPr>
        <w:ind w:left="420"/>
      </w:pPr>
      <w:r>
        <w:t xml:space="preserve">6. die Anforderungen an die Vertraulichkeit, Integrität, Verfügbarkeit und Authentizität der Daten nach § 7 Absatz 3,</w:t>
      </w:r>
    </w:p>
    <w:p>
      <w:pPr>
        <w:ind w:left="420"/>
      </w:pPr>
      <w:r>
        <w:t xml:space="preserve">7. die Anforderungen für die Zurechnung zu einem Mischbestand nach § 9 Absatz 3,</w:t>
      </w:r>
    </w:p>
    <w:p>
      <w:pPr>
        <w:ind w:left="420"/>
      </w:pPr>
      <w:r>
        <w:t xml:space="preserve">8. die Anforderungen an die Gewährleistung des Einsichtsrechts gemäß § 10, den Kreis der Einsichtsberechtigten, einschließlich des Umfangs der Einsichtnahme und des jeweiligen Teilnehmerkreises für die Kryptowertpapierregister, und die Gründe, die ein berechtigtes oder ein besonderes berechtigtes Einsichtsinteresse begründen, sowie die Regelungen zur Darlegung des Interesses und zum Verfahren der Einsichtnahme,</w:t>
      </w:r>
    </w:p>
    <w:p>
      <w:pPr>
        <w:ind w:left="420"/>
      </w:pPr>
      <w:r>
        <w:t xml:space="preserve">9. die Anforderungen an die Identifizierung des Weisungsberechtigten und an das Authentifizierungsinstrument nach § 18 Absatz 1,</w:t>
      </w:r>
    </w:p>
    <w:p>
      <w:pPr>
        <w:ind w:left="420"/>
      </w:pPr>
      <w:r>
        <w:t xml:space="preserve">10. die Verfahrensanforderung zur Übermittlung und zur Vollziehung von Weisungen nach § 18 Absatz 1 bis 4,</w:t>
      </w:r>
    </w:p>
    <w:p>
      <w:pPr>
        <w:ind w:left="420"/>
      </w:pPr>
      <w:r>
        <w:t xml:space="preserve">11. die Anforderungen an den angemessenen Zeitraum für Umtragungen und an die Gültigkeit von Transaktionen auf dem Aufzeichnungssystem nach § 18 Absatz 4,</w:t>
      </w:r>
    </w:p>
    <w:p>
      <w:pPr>
        <w:ind w:left="420"/>
      </w:pPr>
      <w:r>
        <w:t xml:space="preserve">12. die Anforderungen an den Austausch von Informationen des Registers mit dritten Systemen oder Anwendungen und an die gegenseitige Nutzung ausgetauschter Informationen,</w:t>
      </w:r>
    </w:p>
    <w:p>
      <w:pPr>
        <w:ind w:left="420"/>
      </w:pPr>
      <w:r>
        <w:t xml:space="preserve">13. die Zugänglichkeit des verwendeten Quellcodes,</w:t>
      </w:r>
    </w:p>
    <w:p>
      <w:pPr>
        <w:ind w:left="420"/>
      </w:pPr>
      <w:r>
        <w:t xml:space="preserve">14. die verwendeten Steuerungsverfahren und Steuerungsmaßnahmen,</w:t>
      </w:r>
    </w:p>
    <w:p>
      <w:pPr>
        <w:ind w:left="420"/>
      </w:pPr>
      <w:r>
        <w:t xml:space="preserve">15. die Sicherstellung von Verantwortlichkeiten und Identifizierungsmerkmalen,</w:t>
      </w:r>
    </w:p>
    <w:p>
      <w:pPr>
        <w:ind w:left="420"/>
      </w:pPr>
      <w:r>
        <w:t xml:space="preserve">16. die Anforderungen an die technische Leistungsfähigkeit und die technische Skalierbarkeit,</w:t>
      </w:r>
    </w:p>
    <w:p>
      <w:pPr>
        <w:ind w:left="420"/>
      </w:pPr>
      <w:r>
        <w:t xml:space="preserve">17. die Berechtigungskonzepte zur Änderung und Fortschreibung der Daten auf dem Aufzeichnungssystem und der Inhalte des Registers,</w:t>
      </w:r>
    </w:p>
    <w:p>
      <w:pPr>
        <w:ind w:left="420"/>
      </w:pPr>
      <w:r>
        <w:t xml:space="preserve">18. die verwendeten kryptografischen Verfahren und alle Mittel und Methoden für die Transformation von Daten, um ihren semantischen Inhalt zu verbergen, ihre unbefugte Verwendung zu verhindern oder ihre unbemerkte Veränderung zu verhindern,</w:t>
      </w:r>
    </w:p>
    <w:p>
      <w:pPr>
        <w:ind w:left="420"/>
      </w:pPr>
      <w:r>
        <w:t xml:space="preserve">19. die Daten, die im Aufzeichnungssystem gespeichert werden müssen,</w:t>
      </w:r>
    </w:p>
    <w:p>
      <w:pPr>
        <w:ind w:left="420"/>
      </w:pPr>
      <w:r>
        <w:t xml:space="preserve">20. die Informationen, die die registerführende Stelle mit den Informationen im Aufzeichnungssystem abgleichen oder ergänzen muss und speichern muss,</w:t>
      </w:r>
    </w:p>
    <w:p>
      <w:pPr>
        <w:ind w:left="420"/>
      </w:pPr>
      <w:r>
        <w:t xml:space="preserve">21. die Kriterien für eine Teilnahme am Register, die einen fairen und offenen Zugang ermöglichen,</w:t>
      </w:r>
    </w:p>
    <w:p>
      <w:pPr>
        <w:ind w:left="420"/>
      </w:pPr>
      <w:r>
        <w:t xml:space="preserve">22. die Kommunikationsverfahren mit den Teilnehmern einschließlich der Schnittstellen, über die diese mit der registerführenden Stelle sowie dem Aufzeichnungssystem verbunden sind,</w:t>
      </w:r>
    </w:p>
    <w:p>
      <w:pPr>
        <w:ind w:left="420"/>
      </w:pPr>
      <w:r>
        <w:t xml:space="preserve">23. die Anforderungen an die erforderlichen technischen und organisatorischen Maßnahmen des Emittenten nach § 21 Absatz 1,</w:t>
      </w:r>
    </w:p>
    <w:p>
      <w:pPr>
        <w:ind w:left="420"/>
      </w:pPr>
      <w:r>
        <w:t xml:space="preserve">24. die Details bezüglich des Verfahrens für den Wechsel des Wertpapierregisters nach § 21 Absatz 2 und § 22,</w:t>
      </w:r>
    </w:p>
    <w:p>
      <w:pPr>
        <w:ind w:left="420"/>
      </w:pPr>
      <w:r>
        <w:t xml:space="preserve">25. die Dokumentation und die Beschreibung des Registers,</w:t>
      </w:r>
    </w:p>
    <w:p>
      <w:pPr>
        <w:ind w:left="420"/>
      </w:pPr>
      <w:r>
        <w:t xml:space="preserve">26. die Anforderungen an die Geschäftsorganisation bei der Führung des Registers und</w:t>
      </w:r>
    </w:p>
    <w:p>
      <w:pPr>
        <w:ind w:left="420"/>
      </w:pPr>
      <w:r>
        <w:t xml:space="preserve">27. die Art, das Format und den Inhalt des Registerauszugs gemäß § 19.</w:t>
      </w:r>
    </w:p>
    <w:p>
      <w:r>
        <w:t xml:space="preserve">Das Bundesamt für Sicherheit in der Informationstechnik ist anzuhören, soweit die Sicherheit informationstechnischer Systeme betroffen ist.</w:t>
      </w:r>
    </w:p>
    <w:p>
      <w:r>
        <w:t xml:space="preserve">(2) Das Bundesministerium der Justiz und für Verbraucherschutz und das Bundesministerium der Finanzen können die Ermächtigung nach Absatz 1 durch gemeinsame Rechtsverordnung auf die Bundesanstalt für Finanzdienstleistungsaufsicht übertragen.</w:t>
      </w:r>
    </w:p>
    <w:p>
      <w:r>
        <w:rPr>
          <w:color w:val="555555"/>
          <w:sz w:val="17"/>
        </w:rPr>
        <w:t xml:space="preserve">Zitiervorschlag: § 23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