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eWpG — Elektronisches Wertpapier</w:t>
      </w:r>
    </w:p>
    <w:p>
      <w:r>
        <w:rPr>
          <w:color w:val="555555"/>
          <w:sz w:val="18"/>
        </w:rPr>
        <w:t xml:space="preserve">Gesetz über elektronische Wertpapiere</w:t>
      </w:r>
    </w:p>
    <w:p>
      <w:r>
        <w:rPr>
          <w:color w:val="555555"/>
          <w:sz w:val="18"/>
        </w:rPr>
        <w:t xml:space="preserve">Stand: 10.06.2021 (konsolidierte Textfassung, kein amtliches Inkrafttretensdatum)</w:t>
      </w:r>
    </w:p>
    <w:p>
      <w:r>
        <w:t xml:space="preserve">(1) Ein Wertpapier kann auch als elektronisches Wertpapier begeben werden. Ein elektronisches Wertpapier wird dadurch begeben, dass der Emittent an Stelle der Ausstellung einer Wertpapierurkunde eine Eintragung in ein elektronisches Wertpapierregister (§ 4 Absatz 1) bewirkt.</w:t>
      </w:r>
    </w:p>
    <w:p>
      <w:r>
        <w:t xml:space="preserve">(2) Soweit dieses Gesetz nichts anderes bestimmt, entfaltet ein elektronisches Wertpapier dieselbe Rechtswirkung wie ein Wertpapier, das mittels Urkunde begeben worden ist.</w:t>
      </w:r>
    </w:p>
    <w:p>
      <w:r>
        <w:t xml:space="preserve">(3) Ein elektronisches Wertpapier gilt als Sache im Sinne des § 90 des Bürgerlichen Gesetzbuchs.</w:t>
      </w:r>
    </w:p>
    <w:p>
      <w:r>
        <w:rPr>
          <w:color w:val="555555"/>
          <w:sz w:val="17"/>
        </w:rPr>
        <w:t xml:space="preserve">Zitiervorschlag: § 2 eWpG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