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eWpG — Registerauszug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(1) Die registerführende Stelle hat dem Inhaber eines einzeln eingetragenen Kryptowertpapiers auf Verlangen einen Registerauszug in Textform zur Verfügung zu stellen, sofern dies zur Wahrnehmung seiner Rechte erforderlich ist.</w:t>
      </w:r>
    </w:p>
    <w:p>
      <w:r>
        <w:t xml:space="preserve">(2) Ist der Inhaber eines einzeln eingetragenen Kryptowertpapiers ein Verbraucher, so hat die registerführende Stelle dem Inhaber zu folgenden Zeitpunkten einen Registerauszug in Textform zur Verfügung zu stellen:</w:t>
      </w:r>
    </w:p>
    <w:p>
      <w:pPr>
        <w:ind w:left="420"/>
      </w:pPr>
      <w:r>
        <w:t xml:space="preserve">1. nach Eintragung eines Kryptowertpapiers in das Register zugunsten des Inhabers,</w:t>
      </w:r>
    </w:p>
    <w:p>
      <w:pPr>
        <w:ind w:left="420"/>
      </w:pPr>
      <w:r>
        <w:t xml:space="preserve">2. bei jeder Veränderung des Registerinhalts, die den Inhaber betrifft, und</w:t>
      </w:r>
    </w:p>
    <w:p>
      <w:pPr>
        <w:ind w:left="420"/>
      </w:pPr>
      <w:r>
        <w:t xml:space="preserve">3. einmal jährlich.</w:t>
      </w:r>
    </w:p>
    <w:p>
      <w:r>
        <w:rPr>
          <w:color w:val="555555"/>
          <w:sz w:val="17"/>
        </w:rPr>
        <w:t xml:space="preserve">Zitiervorschlag: § 19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