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eWpG — Verordnungsermächtigung in Bezug auf zentrale Register</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Das Bundesministerium der Justiz und für Verbraucherschutz und das Bundesministerium der Finanzen können für zentrale Register durch gemeinsame Rechtsverordnung, die nicht der Zustimmung des Bundesrates bedarf, die näheren Bestimmungen treffen über</w:t>
      </w:r>
    </w:p>
    <w:p>
      <w:pPr>
        <w:ind w:left="420"/>
      </w:pPr>
      <w:r>
        <w:t xml:space="preserve">1. die technischen Anforderungen an die Niederlegung der Emissionsbedingungen nach § 5, einschließlich der Darstellung von Änderungen und des Datenzugangs, sowie die Bedingungen für die Beschränkung des Zugangs zu den Emissionsbedingungen nach § 5 Absatz 1 Satz 2,</w:t>
      </w:r>
    </w:p>
    <w:p>
      <w:pPr>
        <w:ind w:left="420"/>
      </w:pPr>
      <w:r>
        <w:t xml:space="preserve">2. das Verfahren zum Wechsel der Begebungsform oder der Auslieferung von Einzelurkunden nach § 6,</w:t>
      </w:r>
    </w:p>
    <w:p>
      <w:pPr>
        <w:ind w:left="420"/>
      </w:pPr>
      <w:r>
        <w:t xml:space="preserve">3. die Einrichtung und die Führung des Registers nach § 7, einschließlich der für die zentralen Register vorzusehenden Eintragungsarten nach § 8 Absatz 1,</w:t>
      </w:r>
    </w:p>
    <w:p>
      <w:pPr>
        <w:ind w:left="420"/>
      </w:pPr>
      <w:r>
        <w:t xml:space="preserve">4. die Vorgaben zur Datenspeicherung und zur Datendarstellung nach § 13,</w:t>
      </w:r>
    </w:p>
    <w:p>
      <w:pPr>
        <w:ind w:left="420"/>
      </w:pPr>
      <w:r>
        <w:t xml:space="preserve">5. die Anforderungen an die Gewährleistung des Einsichtsrechts gemäß § 10, den Kreis der Einsichtsberechtigten, einschließlich des Umfangs der Einsichtnahme und des jeweiligen Teilnehmerkreises für die zentralen Register, und die Gründe, die ein berechtigtes oder ein besonderes berechtigtes Einsichtsinteresse begründen, sowie die Regelungen zur Darlegung des Interesses und zum Verfahren der Einsichtnahme,</w:t>
      </w:r>
    </w:p>
    <w:p>
      <w:pPr>
        <w:ind w:left="420"/>
      </w:pPr>
      <w:r>
        <w:t xml:space="preserve">6. den zu erwartenden Sorgfaltsmaßstab für die Abbildung der Rechtslage nach § 7 Absatz 2,</w:t>
      </w:r>
    </w:p>
    <w:p>
      <w:pPr>
        <w:ind w:left="420"/>
      </w:pPr>
      <w:r>
        <w:t xml:space="preserve">7. die Anforderungen an die Vertraulichkeit, Integrität, Verfügbarkeit und Authentizität der Daten nach § 7 Absatz 3,</w:t>
      </w:r>
    </w:p>
    <w:p>
      <w:pPr>
        <w:ind w:left="420"/>
      </w:pPr>
      <w:r>
        <w:t xml:space="preserve">8. die Anforderungen an die Zurechnung zu einem Mischbestand nach § 9 Absatz 3,</w:t>
      </w:r>
    </w:p>
    <w:p>
      <w:pPr>
        <w:ind w:left="420"/>
      </w:pPr>
      <w:r>
        <w:t xml:space="preserve">9. die Anforderungen an die Identifizierung des Weisungsberechtigten und das Authentifizierungsinstrument nach § 14 Absatz 1,</w:t>
      </w:r>
    </w:p>
    <w:p>
      <w:pPr>
        <w:ind w:left="420"/>
      </w:pPr>
      <w:r>
        <w:t xml:space="preserve">10. die Verfahrensanforderung zur Übermittlung und zur Vollziehung von Weisungen nach § 14 Absatz 1 bis 4,</w:t>
      </w:r>
    </w:p>
    <w:p>
      <w:pPr>
        <w:ind w:left="420"/>
      </w:pPr>
      <w:r>
        <w:t xml:space="preserve">11. die Anforderungen an den angemessenen Zeitraum für Umtragungen und die Gültigkeit von Transaktionen nach § 14 Absatz 4 und</w:t>
      </w:r>
    </w:p>
    <w:p>
      <w:pPr>
        <w:ind w:left="420"/>
      </w:pPr>
      <w:r>
        <w:t xml:space="preserve">12. die Modalitäten der Anzeige der Einrichtung eines zentralen Registers gegenüber der Aufsichtsbehörde nach § 12 Absatz 4.</w:t>
      </w:r>
    </w:p>
    <w:p>
      <w:r>
        <w:t xml:space="preserve">Das Bundesamt für Sicherheit in der Informationstechnik ist anzuhören, soweit die Sicherheit informationstechnischer Systeme betroffen ist.</w:t>
      </w:r>
    </w:p>
    <w:p>
      <w:r>
        <w:t xml:space="preserve">(2) Das Bundesministerium der Justiz und für Verbraucherschutz und das Bundesministerium der Finanzen können die Ermächtigung nach Absatz 1 durch gemeinsame Rechtsverordnung auf die Bundesanstalt für Finanzdienstleistungsaufsicht übertragen.</w:t>
      </w:r>
    </w:p>
    <w:p>
      <w:r>
        <w:rPr>
          <w:color w:val="555555"/>
          <w:sz w:val="17"/>
        </w:rPr>
        <w:t xml:space="preserve">Zitiervorschlag: § 15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