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eWpG — Änderungen des Registerinhalts</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Die registerführende Stelle darf, soweit gesetzlich nicht anders bestimmt, Änderungen der Angaben nach § 13 Absatz 1 und 2 sowie die Löschung des Wertpapiers und seiner niedergelegten Emissionsbedingungen nur vornehmen auf Grund einer Weisung</w:t>
      </w:r>
    </w:p>
    <w:p>
      <w:pPr>
        <w:ind w:left="420"/>
      </w:pPr>
      <w:r>
        <w:t xml:space="preserve">1. des Inhabers, es sei denn, der registerführenden Stelle ist bekannt, dass dieser nicht berechtigt ist, oder</w:t>
      </w:r>
    </w:p>
    <w:p>
      <w:pPr>
        <w:ind w:left="420"/>
      </w:pPr>
      <w:r>
        <w:t xml:space="preserve">2. einer Person oder Stelle, die berechtigt ist</w:t>
      </w:r>
    </w:p>
    <w:p>
      <w:pPr>
        <w:ind w:left="780"/>
      </w:pPr>
      <w:r>
        <w:t xml:space="preserve">a) durch Gesetz,</w:t>
      </w:r>
    </w:p>
    <w:p>
      <w:pPr>
        <w:ind w:left="780"/>
      </w:pPr>
      <w:r>
        <w:t xml:space="preserve">b) auf Grund eines Gesetzes,</w:t>
      </w:r>
    </w:p>
    <w:p>
      <w:pPr>
        <w:ind w:left="780"/>
      </w:pPr>
      <w:r>
        <w:t xml:space="preserve">c) durch Rechtsgeschäft,</w:t>
      </w:r>
    </w:p>
    <w:p>
      <w:pPr>
        <w:ind w:left="780"/>
      </w:pPr>
      <w:r>
        <w:t xml:space="preserve">d) durch gerichtliche Entscheidung oder</w:t>
      </w:r>
    </w:p>
    <w:p>
      <w:pPr>
        <w:ind w:left="780"/>
      </w:pPr>
      <w:r>
        <w:t xml:space="preserve">e) durch vollstreckbaren Verwaltungsakt.</w:t>
      </w:r>
    </w:p>
    <w:p>
      <w:r>
        <w:t xml:space="preserve">Im Falle einer Verfügungsbeschränkung nach § 13 Absatz 2 Satz 1 Nummer 1 hat der Inhaber über seine Weisung hinaus der registerführenden Stelle zu versichern, dass die Zustimmung der durch die Verfügungsbeschränkungen begünstigten Personen zu der Änderung vorliegt. Im Falle des § 13 Absatz 2 Satz 1 Nummer 2 tritt an die Stelle des Inhabers der eingetragene Dritte. Die registerführende Stelle versieht den Eingang der Weisungen mit einem Zeitstempel. Die registerführende Stelle darf von einer Weisung des Inhabers ausgehen, wenn die Weisung mittels eines geeigneten Authentifizierungsinstruments erteilt wurde.</w:t>
      </w:r>
    </w:p>
    <w:p>
      <w:r>
        <w:t xml:space="preserve">(2) Die registerführende Stelle darf Änderungen der Angaben nach § 13 Absatz 1 Nummer 1 bis 5, 7 und 8 sowie die Löschung einer Eintragung und ihrer niedergelegten Emissionsbedingungen, soweit gesetzlich nichts anderes bestimmt ist, nur mit Zustimmung des Emittenten vornehmen. Für die Eintragung des Erlöschens von nach § 13 Absatz 1 Nummer 8 Buchstabe d eingetragenen Mehrstimmrechten ist auch der Emittent allein weisungsbefugt.</w:t>
      </w:r>
    </w:p>
    <w:p>
      <w:r>
        <w:t xml:space="preserve">(3) Die registerführende Stelle stellt sicher, dass Änderungen des Registerinhalts, insbesondere hinsichtlich des Inhabers, nur in der Reihenfolge vorgenommen werden, in der die diesbezüglichen Weisungen bei der registerführenden Stelle eingehen. Die registerführende Stelle versieht die Änderung des Registerinhalts mit einem Zeitstempel.</w:t>
      </w:r>
    </w:p>
    <w:p>
      <w:r>
        <w:t xml:space="preserve">(4) Die registerführende Stelle muss sicherstellen, dass Umtragungen eindeutig sind, innerhalb einer angemessenen Zeit erfolgen und die Transaktion nicht wieder ungültig werden kann.</w:t>
      </w:r>
    </w:p>
    <w:p>
      <w:r>
        <w:t xml:space="preserve">(5) Hat die registerführende Stelle eine Änderung des Registerinhalts ohne eine Weisung nach Absatz 1 oder ohne die Zustimmung des Emittenten nach Absatz 2 vorgenommen, so muss sie die Änderung unverzüglich rückgängig machen. Die Rechte aus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insbesondere Artikel 17 der Verordnung (EU) 2016/679, bleiben unberührt.</w:t>
      </w:r>
    </w:p>
    <w:p>
      <w:r>
        <w:rPr>
          <w:color w:val="555555"/>
          <w:sz w:val="17"/>
        </w:rPr>
        <w:t xml:space="preserve">Zitiervorschlag: § 14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