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eWpG — Publizität; Registergeheimnis</w:t>
      </w:r>
    </w:p>
    <w:p>
      <w:r>
        <w:rPr>
          <w:color w:val="555555"/>
          <w:sz w:val="18"/>
        </w:rPr>
        <w:t xml:space="preserve">Gesetz über elektronische Wertpapiere</w:t>
      </w:r>
    </w:p>
    <w:p>
      <w:r>
        <w:rPr>
          <w:color w:val="555555"/>
          <w:sz w:val="18"/>
        </w:rPr>
        <w:t xml:space="preserve">Stand: 10.06.2021 (konsolidierte Textfassung, kein amtliches Inkrafttretensdatum)</w:t>
      </w:r>
    </w:p>
    <w:p>
      <w:r>
        <w:t xml:space="preserve">(1) Die registerführende Stelle muss sicherstellen, dass die Teilnehmer des elektronischen Wertpapierregisters elektronische Einsicht in das Register nehmen können.</w:t>
      </w:r>
    </w:p>
    <w:p>
      <w:r>
        <w:t xml:space="preserve">(2) Die registerführende Stelle hat jedem, der ein berechtigtes Interesse darlegt, die elektronische Einsicht in das elektronische Wertpapierregister zu gewähren.</w:t>
      </w:r>
    </w:p>
    <w:p>
      <w:r>
        <w:t xml:space="preserve">(3) Auskünfte, die über die Angaben im elektronischen Wertpapierregister zum eingetragenen Wertpapier hinausgehen, einschließlich der Auskunft über die Identität und die Adresse eines Inhabers, darf die registerführende Stelle nur erteilen, soweit</w:t>
      </w:r>
    </w:p>
    <w:p>
      <w:pPr>
        <w:ind w:left="420"/>
      </w:pPr>
      <w:r>
        <w:t xml:space="preserve">1. derjenige, der Auskunft verlangt, ein besonderes berechtigtes Interesse darlegt,</w:t>
      </w:r>
    </w:p>
    <w:p>
      <w:pPr>
        <w:ind w:left="420"/>
      </w:pPr>
      <w:r>
        <w:t xml:space="preserve">2. die Erteilung der Auskunft für die Erfüllung des Interesses erforderlich ist und</w:t>
      </w:r>
    </w:p>
    <w:p>
      <w:pPr>
        <w:ind w:left="420"/>
      </w:pPr>
      <w:r>
        <w:t xml:space="preserve">3. die Interessen des Inhabers am Schutz seiner personenbezogenen Daten das Interesse desjenigen, der Auskunft verlangt, nicht überwiegen.</w:t>
      </w:r>
    </w:p>
    <w:p>
      <w:r>
        <w:t xml:space="preserve">Für den Inhaber eines elektronischen Wertpapiers besteht in Bezug auf ein für ihn eingetragenes Wertpapier stets ein besonderes berechtigtes Interesse.</w:t>
      </w:r>
    </w:p>
    <w:p>
      <w:r>
        <w:t xml:space="preserve">(4) Den zuständigen Aufsichts-, Ordnungs- und Strafverfolgungsbehörden ist gemäß Absatz 2 Einsicht in ein elektronisches Wertpapierregister zu gewähren und gemäß Absatz 3 Auskunft zu erteilen, soweit dies jeweils für die Erfüllung der gesetzlichen Aufgaben dieser Behörden erforderlich ist. Die registerführende Stelle hat stets vom Vorliegen dieser Voraussetzungen auszugehen, wenn sie von den in § 34 Absatz 4 Satz 1 des Bundesmeldegesetzes genannten Behörden um Einsicht oder Auskunft ersucht wird.</w:t>
      </w:r>
    </w:p>
    <w:p>
      <w:r>
        <w:t xml:space="preserve">(5) Die registerführende Stelle hat über die von ihr nach den Absätzen 2 bis 4 gewährten Einsichten und erteilten Auskünfte ein Protokoll zu führen. Einer Protokollierung bedarf es nicht bei Einsichtnahmen durch oder Auskunftserteilungen an einen Teilnehmer des Registers nach Absatz 1. Den Teilnehmern des Registers ist auf Verlangen Auskunft aus diesem Protokoll zu den sie betreffenden Einsichtnahmen oder Auskunftserteilungen zu geben, es sei denn, die Bekanntgabe würde den Erfolg strafrechtlicher Ermittlungen oder die Aufgabenwahrnehmung einer in § 34 Absatz 4 Satz 1 des Bundesmeldegesetzes genannten Behörde gefährden. Protokolleinträge sind nach Ablauf von zwei Jahren ab dem Eintragungsdatum zu vernichten.</w:t>
      </w:r>
    </w:p>
    <w:p>
      <w:r>
        <w:rPr>
          <w:color w:val="555555"/>
          <w:sz w:val="17"/>
        </w:rPr>
        <w:t xml:space="preserve">Zitiervorschlag: § 10 eWpG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