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eWpG — Anwendungsbereich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Dieses Gesetz ist anzuwenden auf</w:t>
      </w:r>
    </w:p>
    <w:p>
      <w:pPr>
        <w:ind w:left="420"/>
      </w:pPr>
      <w:r>
        <w:t xml:space="preserve">1. Schuldverschreibungen auf den Inhaber,</w:t>
      </w:r>
    </w:p>
    <w:p>
      <w:pPr>
        <w:ind w:left="420"/>
      </w:pPr>
      <w:r>
        <w:t xml:space="preserve">2. Aktien, die auf den Namen lauten, und</w:t>
      </w:r>
    </w:p>
    <w:p>
      <w:pPr>
        <w:ind w:left="420"/>
      </w:pPr>
      <w:r>
        <w:t xml:space="preserve">3. Aktien, die auf den Inhaber lauten, wenn sie in einem zentralen Register eingetragen sind.</w:t>
      </w:r>
    </w:p>
    <w:p>
      <w:r>
        <w:rPr>
          <w:color w:val="555555"/>
          <w:sz w:val="17"/>
        </w:rPr>
        <w:t xml:space="preserve">Zitiervorschlag: § 1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