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eSuBV (Brandenburg) — Inkrafttreten, Außerkrafttreten</w:t>
      </w:r>
    </w:p>
    <w:p>
      <w:r>
        <w:rPr>
          <w:color w:val="555555"/>
          <w:sz w:val="18"/>
        </w:rPr>
        <w:t xml:space="preserve">elektronische Steuerstraf- und Bußgeldaktenverordnung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Potsdam, den 15. Januar 2026</w:t>
      </w:r>
    </w:p>
    <w:p>
      <w:r>
        <w:t xml:space="preserve">Der Minister der Finanzen und für Europa</w:t>
      </w:r>
    </w:p>
    <w:p>
      <w:r>
        <w:t xml:space="preserve">Robert Crumbach</w:t>
      </w:r>
    </w:p>
    <w:p>
      <w:r>
        <w:rPr>
          <w:color w:val="555555"/>
          <w:sz w:val="17"/>
        </w:rPr>
        <w:t xml:space="preserve">Zitiervorschlag: § 8 eSuBV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https://recht.nulegal.eu/gesetze/eSuBV/8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