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eSuBV (Brandenburg) — Barrierefreiheit</w:t>
      </w:r>
    </w:p>
    <w:p>
      <w:r>
        <w:rPr>
          <w:color w:val="555555"/>
          <w:sz w:val="18"/>
        </w:rPr>
        <w:t xml:space="preserve">elektronische Steuerstraf- und Bußgeldaktenverordnung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Elektronische Akten sowie Verfahren zur Führung und Bearbeitung elektronischer Akten sollen technisch so gestaltet werden, dass sie, soweit technisch möglich, barrierefrei zugänglich und nutzbar sind.</w:t>
      </w:r>
    </w:p>
    <w:p>
      <w:r>
        <w:rPr>
          <w:color w:val="555555"/>
          <w:sz w:val="17"/>
        </w:rPr>
        <w:t xml:space="preserve">Zitiervorschlag: § 6 eSuBV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https://recht.nulegal.eu/gesetze/eSuBV/6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