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eSuBV (Brandenburg) — Datenschutz und Datensicherheit</w:t>
      </w:r>
    </w:p>
    <w:p>
      <w:r>
        <w:rPr>
          <w:color w:val="555555"/>
          <w:sz w:val="18"/>
        </w:rPr>
        <w:t xml:space="preserve">elektronische Steuerstraf- und Bußgeldaktenverordnung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aktenführende Stelle hat als verantwortliche Stelle zu gewährleisten, dass die technischen und organisatorischen Maßnahmen zur Erfüllung der datenschutzrechtlichen Anforderungen getroffen werden.</w:t>
      </w:r>
    </w:p>
    <w:p>
      <w:r>
        <w:rPr>
          <w:color w:val="555555"/>
          <w:sz w:val="17"/>
        </w:rPr>
        <w:t xml:space="preserve">Zitiervorschlag: § 5 eSuBV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https://recht.nulegal.eu/gesetze/eSuBV/5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