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eSuBV (Brandenburg) — Anwendungsbereich</w:t>
      </w:r>
    </w:p>
    <w:p>
      <w:r>
        <w:rPr>
          <w:color w:val="555555"/>
          <w:sz w:val="18"/>
        </w:rPr>
        <w:t xml:space="preserve">elektronische Steuerstraf- und Bußgeldaktenverordnung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ist anzuwenden auf elektronisch geführte Akten der Steuerfahndungsstellen und der Bußgeld- und Strafsachenstellen der Finanzämter</w:t>
      </w:r>
    </w:p>
    <w:p>
      <w:r>
        <w:t xml:space="preserve">in Ermittlungsverfahren nach § 386 Absatz 2 der Abgabenordnung und</w:t>
      </w:r>
    </w:p>
    <w:p>
      <w:r>
        <w:t xml:space="preserve">Verfahren wegen Steuerordnungswidrigkeiten nach § 409 der Abgabenordnung.</w:t>
      </w:r>
    </w:p>
    <w:p>
      <w:r>
        <w:rPr>
          <w:color w:val="555555"/>
          <w:sz w:val="17"/>
        </w:rPr>
        <w:t xml:space="preserve">Zitiervorschlag: § 1 eSuBV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https://recht.nulegal.eu/gesetze/eSuBV/1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