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eKFV — Anwendung der Straßenverkehrs-Ordnung</w:t>
      </w:r>
    </w:p>
    <w:p>
      <w:r>
        <w:rPr>
          <w:color w:val="555555"/>
          <w:sz w:val="18"/>
        </w:rPr>
        <w:t xml:space="preserve">Elektrokleinstfahrzeuge-Verordnung</w:t>
      </w:r>
    </w:p>
    <w:p>
      <w:r>
        <w:rPr>
          <w:color w:val="555555"/>
          <w:sz w:val="18"/>
        </w:rPr>
        <w:t xml:space="preserve">Stand: 15.06.2019 (konsolidierte Textfassung, kein amtliches Inkrafttretensdatum)</w:t>
      </w:r>
    </w:p>
    <w:p>
      <w:r>
        <w:t xml:space="preserve">Wer ein Elektrokleinstfahrzeug im Straßenverkehr führt, unterliegt den Vorschriften der Straßenverkehrs-Ordnung nach Maßgabe der nachfolgenden §§ 10 bis 13.</w:t>
      </w:r>
    </w:p>
    <w:p>
      <w:r>
        <w:rPr>
          <w:color w:val="555555"/>
          <w:sz w:val="17"/>
        </w:rPr>
        <w:t xml:space="preserve">Zitiervorschlag: § 9 eKFV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