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eKFV — Personenbeförderung und Anhängerbetrieb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15.06.2019 (konsolidierte Textfassung, kein amtliches Inkrafttretensdatum)</w:t>
      </w:r>
    </w:p>
    <w:p>
      <w:r>
        <w:t xml:space="preserve">Die Personenbeförderung sowie der Anhängerbetrieb sind für Elektrokleinstfahrzeuge nicht gestattet.</w:t>
      </w:r>
    </w:p>
    <w:p>
      <w:r>
        <w:rPr>
          <w:color w:val="555555"/>
          <w:sz w:val="17"/>
        </w:rPr>
        <w:t xml:space="preserve">Zitiervorschlag: § 8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