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eKFV — Anforderungen an die Einrichtung für Schallzeichen</w:t>
      </w:r>
    </w:p>
    <w:p>
      <w:r>
        <w:rPr>
          <w:color w:val="555555"/>
          <w:sz w:val="18"/>
        </w:rPr>
        <w:t xml:space="preserve">Elektrokleinstfahrzeuge-Verordnung</w:t>
      </w:r>
    </w:p>
    <w:p>
      <w:r>
        <w:rPr>
          <w:color w:val="555555"/>
          <w:sz w:val="18"/>
        </w:rPr>
        <w:t xml:space="preserve">Stand: 01.04.2026 (konsolidierte Textfassung, kein amtliches Inkrafttretensdatum)</w:t>
      </w:r>
    </w:p>
    <w:p>
      <w:r>
        <w:t xml:space="preserve">Elektrokleinstfahrzeuge müssen mit mindestens einer helltönenden Glocke ausgerüstet sein. Es dürfen auch andere Einrichtungen für Schallzeichen angebracht sein, die der Regelung Nr. 28 der Wirtschaftskommission der Vereinten Nationen für Europa (UN/ECE) – Einheitliche Vorschriften für die Genehmigung der Vorrichtungen für Schallzeichen und der Kraftfahrzeuge hinsichtlich ihrer Schallzeichen (ABl. L 323 vom 6.12.2011, S. 33) – Teil II, für Fahrzeugklasse L3 mit einer Leistung von nicht mehr als 7 kW, sowie dem Anhang II der delegierten Verordnung (EU) Nr. 3/2014 der Kommission vom 24. Oktober 2013 zur Ergänzung der Verordnung (EU) Nr. 168/2013 des Europäischen Parlaments und des Rates hinsichtlich der Anforderungen an die funktionale Sicherheit von Fahrzeugen für die Genehmigung von zwei-oder dreirädrigen und vierrädrigen Fahrzeugen entsprechen. Nicht zulässig sind Radlaufglocken, Sirenen oder andere akustische Signalgeber.</w:t>
      </w:r>
    </w:p>
    <w:p>
      <w:r>
        <w:rPr>
          <w:color w:val="555555"/>
          <w:sz w:val="17"/>
        </w:rPr>
        <w:t xml:space="preserve">Zitiervorschlag: § 6 eKFV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https://recht.nulegal.eu/gesetze/eKFV/6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