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eKFV — Anforderungen an das Inbetriebsetzen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Ein Elektrokleinstfahrzeug darf auf öffentlichen Straßen nur in Betrieb gesetzt werden, wenn</w:t>
      </w:r>
    </w:p>
    <w:p>
      <w:pPr>
        <w:ind w:left="420"/>
      </w:pPr>
      <w:r>
        <w:t xml:space="preserve">1. es einem Typ entspricht, für den eine Allgemeine Betriebserlaubnis erteilt worden ist, oder für das Fahrzeug eine Einzelbetriebserlaubnis erteilt worden ist,</w:t>
      </w:r>
    </w:p>
    <w:p>
      <w:pPr>
        <w:ind w:left="420"/>
      </w:pPr>
      <w:r>
        <w:t xml:space="preserve">2. es eine gültige Versicherungsplakette für Elektrokleinstfahrzeuge nach § 56 der Fahrzeug-Zulassungsverordnung führt,</w:t>
      </w:r>
    </w:p>
    <w:p>
      <w:pPr>
        <w:ind w:left="420"/>
      </w:pPr>
      <w:r>
        <w:t xml:space="preserve">3. es entsprechend der Anlage 1 dieser Verordnung mit einer Fahrzeug-Identifizierungsnummer sowie mit einem Fabrikschild gekennzeichnet ist und</w:t>
      </w:r>
    </w:p>
    <w:p>
      <w:pPr>
        <w:ind w:left="420"/>
      </w:pPr>
      <w:r>
        <w:t xml:space="preserve">4. es</w:t>
      </w:r>
    </w:p>
    <w:p>
      <w:pPr>
        <w:ind w:left="780"/>
      </w:pPr>
      <w:r>
        <w:t xml:space="preserve">a) den Anforderungen an die Verzögerungseinrichtung nach § 4,</w:t>
      </w:r>
    </w:p>
    <w:p>
      <w:pPr>
        <w:ind w:left="780"/>
      </w:pPr>
      <w:r>
        <w:t xml:space="preserve">b) den Anforderungen an die lichttechnischen Einrichtungen nach § 5 Absatz 1 Satz 1 und 2, Absatz 3 Satz 1 und 2 sowie Absatz 4 Satz 1,</w:t>
      </w:r>
    </w:p>
    <w:p>
      <w:pPr>
        <w:ind w:left="780"/>
      </w:pPr>
      <w:r>
        <w:t xml:space="preserve">c) den Anforderungen an die Einrichtung für Schallzeichen nach § 6 Satz 1 sowie</w:t>
      </w:r>
    </w:p>
    <w:p>
      <w:pPr>
        <w:ind w:left="780"/>
      </w:pPr>
      <w:r>
        <w:t xml:space="preserve">d) den sonstigen Sicherheitsanforderungen nach § 7</w:t>
      </w:r>
    </w:p>
    <w:p>
      <w:pPr>
        <w:ind w:left="420"/>
      </w:pPr>
      <w:r>
        <w:t xml:space="preserve">entspricht.</w:t>
      </w:r>
    </w:p>
    <w:p>
      <w:r>
        <w:t xml:space="preserve">Die Datenbestätigung nach § 20 Absatz 3a Satz 1 bis 3 der Straßenverkehrs-Zulassungs-Ordnung oder die Bescheinigung über die Einzelbetriebserlaubnis muss für eine Inbetriebnahme aufbewahrt und zuständigen Personen auf Verlangen zur Prüfung ausgehändigt werden.</w:t>
      </w:r>
    </w:p>
    <w:p>
      <w:r>
        <w:t xml:space="preserve">(2) Für Elektrokleinstfahrzeuge richtet sich die Erteilung</w:t>
      </w:r>
    </w:p>
    <w:p>
      <w:pPr>
        <w:ind w:left="420"/>
      </w:pPr>
      <w:r>
        <w:t xml:space="preserve">1. einer Allgemeinen Betriebserlaubnis nach den Anforderungen des § 20 der Straßenverkehrs-Zulassungs-Ordnung,</w:t>
      </w:r>
    </w:p>
    <w:p>
      <w:pPr>
        <w:ind w:left="420"/>
      </w:pPr>
      <w:r>
        <w:t xml:space="preserve">2. einer Einzelbetriebserlaubnis nach den Anforderungen des § 21 der Straßenverkehrs-Zulassungs-Ordnung.</w:t>
      </w:r>
    </w:p>
    <w:p>
      <w:r>
        <w:t xml:space="preserve">Die in Satz 1 bezeichneten Erlaubnisse werden erteilt, wenn das Fahrzeug die Anforderungen des § 1 Absatz 1 und der §§ 4 bis 7 erfüllt.</w:t>
      </w:r>
    </w:p>
    <w:p>
      <w:r>
        <w:t xml:space="preserve">(3) Für die Wirksamkeit der Allgemeinen Betriebserlaubnis oder der Einzelbetriebserlaubnis gilt § 19 Absatz 2 und 3 der Straßenverkehrs-Zulassungs-Ordnung. Ist die Betriebserlaubnis nach § 19 Absatz 2 Satz 2 der Straßenverkehrs-Zulassungs-Ordnung erloschen, so darf das Elektrokleinstfahrzeug nicht auf öffentlichen Straßen in Betrieb gesetzt werden.</w:t>
      </w:r>
    </w:p>
    <w:p>
      <w:r>
        <w:t xml:space="preserve">(4) Der Halter darf die Inbetriebnahme eines Elektrokleinstfahrzeugs auf öffentlichen Straßen nicht anordnen oder zulassen, wenn das Elektrokleinstfahrzeug die Voraussetzungen nach Absatz 1 nicht erfüllt oder die Betriebserlaubnis nach Absatz 3 Satz 2 in Verbindung mit § 19 Absatz 2 Satz 2 der Straßenverkehrs-Zulassungs-Ordnung erloschen ist.</w:t>
      </w:r>
    </w:p>
    <w:p>
      <w:r>
        <w:rPr>
          <w:color w:val="555555"/>
          <w:sz w:val="17"/>
        </w:rPr>
        <w:t xml:space="preserve">Zitiervorschlag: § 2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