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eKFV — Übergangsbestimmungen</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(1) Genehmigungen, die bis zum Außerkrafttreten der Mobilitätshilfenverordnung vom 16. Juli 2009 (BGBl. I S. 2097) erteilt wurden, bleiben gültig. Genehmigungen auf Basis der außer Kraft gesetzten Mobilitätshilfenverordnung dürfen nicht geändert werden.</w:t>
      </w:r>
    </w:p>
    <w:p>
      <w:r>
        <w:t xml:space="preserve">(2) Für Elektrokleinstfahrzeuge, für die eine gültige Genehmigung durch eine Straßenverkehrsbehörde auf Grundlage anderer Vorschriften erteilt wurde und die den Anforderungen dieser Verordnung entsprechen, sind die Vorschriften dieser Verordnung nach ihrem Inkrafttreten maßgeblich.</w:t>
      </w:r>
    </w:p>
    <w:p>
      <w:r>
        <w:t xml:space="preserve">(3) Für Elektrokleinstfahrzeuge, die bis zum Ablauf des 31. März 2026 erstmals in den Verkehr gekommen sind, finden die Vorschriften dieser Verordnung über den Bau der Fahrzeuge in der bis zu einschließlich diesem Tag geltenden Fassung Anwendung.</w:t>
      </w:r>
    </w:p>
    <w:p>
      <w:r>
        <w:t xml:space="preserve">(4) Für Elektrokleinstfahrzeuge, die vor dem 1. Januar 2027 erstmals in den Verkehr gebracht wurden und für die eine Genehmigung vor dem 1. April 2026 erteilt worden ist, werden § 1 Absatz 1 Nummer 3, § 4, § 5 Absatz 4 und § 7 bis zum Ablauf des 31. Dezember 2026 in der bis zum Ablauf des 31. März 2026 geltenden Fassung weiter angewandt. Für diese Fahrzeuge können § 1 Absatz 1 Nummer 3, § 4, § 5 Absatz 4 und § 7 in der Fassung dieser Verordnung weiter angewandt werden, sofern dies beantragt wird.</w:t>
      </w:r>
    </w:p>
    <w:p>
      <w:r>
        <w:rPr>
          <w:color w:val="555555"/>
          <w:sz w:val="17"/>
        </w:rPr>
        <w:t xml:space="preserve">Zitiervorschlag: § 15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