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eKFV — Lichtzeichen</w:t>
      </w:r>
    </w:p>
    <w:p>
      <w:r>
        <w:rPr>
          <w:color w:val="555555"/>
          <w:sz w:val="18"/>
        </w:rPr>
        <w:t xml:space="preserve">Elektrokleinstfahrzeuge-Verordnung</w:t>
      </w:r>
    </w:p>
    <w:p>
      <w:r>
        <w:rPr>
          <w:color w:val="555555"/>
          <w:sz w:val="18"/>
        </w:rPr>
        <w:t xml:space="preserve">Stand: 15.06.2019 (konsolidierte Textfassung, kein amtliches Inkrafttretensdatum)</w:t>
      </w:r>
    </w:p>
    <w:p>
      <w:r>
        <w:t xml:space="preserve">Elektrokleinstfahrzeuge unterfallen der Lichtzeichenregelung des § 37 Absatz 2 Nummer 5 und 6 der Straßenverkehrs-Ordnung. Dabei kommt das Sinnbild „Radverkehr“ zur Anwendung.</w:t>
      </w:r>
    </w:p>
    <w:p>
      <w:r>
        <w:rPr>
          <w:color w:val="555555"/>
          <w:sz w:val="17"/>
        </w:rPr>
        <w:t xml:space="preserve">Zitiervorschlag: § 13 eKFV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https://recht.nulegal.eu/gesetze/eKFV/13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